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8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F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0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from________ to_________.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7_edei--EntityFileNumber_c20260101"/>
      <w:bookmarkEnd w:id="7"/>
      <w:r>
        <w:rPr>
          <w:rFonts w:ascii="Times New Roman;Times;Serif" w:hAnsi="Times New Roman;Times;Serif"/>
          <w:b/>
          <w:i w:val="false"/>
          <w:caps w:val="false"/>
          <w:smallCaps w:val="false"/>
          <w:sz w:val="20"/>
        </w:rPr>
        <w:t>001-40874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A_edei--EntityRegistrantName_c2026"/>
      <w:bookmarkEnd w:id="8"/>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215"/>
        <w:gridCol w:w="60"/>
        <w:gridCol w:w="1535"/>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TaxIdentificationNum"/>
            <w:bookmarkEnd w:id="10"/>
            <w:r>
              <w:rPr>
                <w:rFonts w:ascii="Times New Roman;Times;Serif" w:hAnsi="Times New Roman;Times;Serif"/>
                <w:b/>
                <w:i w:val="false"/>
                <w:caps w:val="false"/>
                <w:smallCaps w:val="false"/>
                <w:sz w:val="20"/>
              </w:rPr>
              <w:t>86-3825535</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A_edei--EntityAddressAddressLine1_"/>
            <w:bookmarkEnd w:id="11"/>
            <w:r>
              <w:rPr>
                <w:rFonts w:ascii="Times New Roman;Times;Serif" w:hAnsi="Times New Roman;Times;Serif"/>
                <w:b/>
                <w:i w:val="false"/>
                <w:caps w:val="false"/>
                <w:smallCaps w:val="false"/>
                <w:sz w:val="20"/>
              </w:rPr>
              <w:t>1901 W.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CityOrTown_c2"/>
            <w:bookmarkEnd w:id="12"/>
            <w:r>
              <w:rPr>
                <w:rFonts w:ascii="Times New Roman;Times;Serif" w:hAnsi="Times New Roman;Times;Serif"/>
                <w:b/>
                <w:i w:val="false"/>
                <w:caps w:val="false"/>
                <w:smallCaps w:val="false"/>
                <w:sz w:val="20"/>
              </w:rPr>
              <w:t xml:space="preserve">Kansas City, </w:t>
            </w:r>
            <w:bookmarkStart w:id="13" w:name="xdx_90A_edei--EntityAddressStateOrProvin"/>
            <w:bookmarkEnd w:id="13"/>
            <w:r>
              <w:rPr>
                <w:rFonts w:ascii="Times New Roman;Times;Serif" w:hAnsi="Times New Roman;Times;Serif"/>
                <w:b/>
                <w:i w:val="false"/>
                <w:caps w:val="false"/>
                <w:smallCaps w:val="false"/>
                <w:sz w:val="20"/>
              </w:rPr>
              <w:t>KS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4_edei--EntityAddressPostalZipCode"/>
            <w:bookmarkEnd w:id="14"/>
            <w:r>
              <w:rPr>
                <w:rFonts w:ascii="Times New Roman;Times;Serif" w:hAnsi="Times New Roman;Times;Serif"/>
                <w:b/>
                <w:i w:val="false"/>
                <w:caps w:val="false"/>
                <w:smallCaps w:val="false"/>
                <w:sz w:val="20"/>
              </w:rPr>
              <w:t>66205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D_edei--CityAreaCode_c20260101__20"/>
      <w:bookmarkEnd w:id="15"/>
      <w:r>
        <w:rPr>
          <w:rFonts w:ascii="Times New Roman;Times;Serif" w:hAnsi="Times New Roman;Times;Serif"/>
          <w:b/>
          <w:i w:val="false"/>
          <w:caps w:val="false"/>
          <w:smallCaps w:val="false"/>
          <w:sz w:val="20"/>
        </w:rPr>
        <w:t xml:space="preserve">(913) </w:t>
      </w:r>
      <w:bookmarkStart w:id="16" w:name="xdx_90D_edei--LocalPhoneNumber_c20260101"/>
      <w:bookmarkEnd w:id="16"/>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720" w:right="0" w:hanging="0"/>
        <w:jc w:val="center"/>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4010"/>
        <w:gridCol w:w="60"/>
        <w:gridCol w:w="1610"/>
        <w:gridCol w:w="60"/>
        <w:gridCol w:w="3275"/>
      </w:tblGrid>
      <w:tr>
        <w:trPr/>
        <w:tc>
          <w:tcPr>
            <w:tcW w:w="4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40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8_edei--Security12bTitle_c2026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TradingSymbol_c20260101__2"/>
            <w:bookmarkEnd w:id="18"/>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9" w:name="xdx_903_edei--SecurityExchangeName_c2026"/>
            <w:bookmarkEnd w:id="19"/>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40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12bTitle_c20260101"/>
            <w:bookmarkEnd w:id="20"/>
            <w:r>
              <w:rPr>
                <w:rFonts w:ascii="Times New Roman;Times;Serif" w:hAnsi="Times New Roman;Times;Serif"/>
                <w:b w:val="false"/>
                <w:i w:val="false"/>
                <w:caps w:val="false"/>
                <w:smallCaps w:val="false"/>
                <w:sz w:val="20"/>
              </w:rPr>
              <w:t>Warrants, exercisable for shares of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60101__2"/>
            <w:bookmarkEnd w:id="21"/>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6_edei--SecurityExchangeName_c2026"/>
            <w:bookmarkEnd w:id="22"/>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2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w:t>
      </w:r>
      <w:bookmarkStart w:id="24" w:name="xdx_90C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720" w:right="0" w:firstLine="49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 w:name="xdx_903_edei--EntityFilerCategory_c20260"/>
            <w:bookmarkEnd w:id="25"/>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6" w:name="xdx_90F_edei--EntitySmallBusiness_c20260"/>
            <w:bookmarkEnd w:id="26"/>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7" w:name="xdx_904_edei--EntityEmergingGrowthCompan"/>
            <w:bookmarkEnd w:id="27"/>
            <w:r>
              <w:rPr>
                <w:caps w:val="false"/>
                <w:smallCaps w:val="false"/>
              </w:rPr>
              <w:t>☒</w:t>
            </w:r>
          </w:p>
        </w:tc>
      </w:tr>
    </w:tbl>
    <w:p>
      <w:pPr>
        <w:pStyle w:val="TextBody"/>
        <w:bidi w:val="0"/>
        <w:spacing w:before="0" w:after="0"/>
        <w:ind w:left="72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1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6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12, 2026, </w:t>
      </w:r>
      <w:bookmarkStart w:id="30" w:name="xdx_906_edei--EntityCommonStockSharesOut"/>
      <w:bookmarkEnd w:id="30"/>
      <w:r>
        <w:rPr>
          <w:rFonts w:ascii="Times New Roman;Times;Serif" w:hAnsi="Times New Roman;Times;Serif"/>
          <w:b w:val="false"/>
          <w:i w:val="false"/>
          <w:caps w:val="false"/>
          <w:smallCaps w:val="false"/>
          <w:sz w:val="20"/>
        </w:rPr>
        <w:t>14,541,826 shares of the registrant’s common stock, $</w:t>
      </w:r>
      <w:bookmarkStart w:id="31" w:name="xdx_90F_edei--EntityListingParValuePerSh"/>
      <w:bookmarkEnd w:id="31"/>
      <w:r>
        <w:rPr>
          <w:rFonts w:ascii="Times New Roman;Times;Serif" w:hAnsi="Times New Roman;Times;Serif"/>
          <w:b w:val="false"/>
          <w:i w:val="false"/>
          <w:caps w:val="false"/>
          <w:smallCaps w:val="false"/>
          <w:sz w:val="20"/>
        </w:rPr>
        <w:t>0.0001 par value,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680"/>
        <w:gridCol w:w="7280"/>
        <w:gridCol w:w="455"/>
      </w:tblGrid>
      <w:tr>
        <w:trPr/>
        <w:tc>
          <w:tcPr>
            <w:tcW w:w="680" w:type="dxa"/>
            <w:tcBorders/>
            <w:vAlign w:val="center"/>
          </w:tcPr>
          <w:p>
            <w:pPr>
              <w:pStyle w:val="TableContents"/>
              <w:bidi w:val="0"/>
              <w:spacing w:before="0" w:after="283"/>
              <w:jc w:val="both"/>
              <w:rPr>
                <w:caps w:val="false"/>
                <w:smallCaps w:val="false"/>
              </w:rPr>
            </w:pPr>
            <w:r>
              <w:rPr>
                <w:caps w:val="false"/>
                <w:smallCaps w:val="false"/>
              </w:rPr>
              <w:t> </w:t>
            </w:r>
          </w:p>
        </w:tc>
        <w:tc>
          <w:tcPr>
            <w:tcW w:w="728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pPr>
            <w:hyperlink w:anchor="sa_001">
              <w:r>
                <w:rPr>
                  <w:rStyle w:val="InternetLink"/>
                  <w:rFonts w:ascii="Times New Roman;Times;Serif" w:hAnsi="Times New Roman;Times;Serif"/>
                  <w:b/>
                  <w:i w:val="false"/>
                  <w:caps w:val="false"/>
                  <w:smallCaps w:val="false"/>
                  <w:sz w:val="20"/>
                </w:rPr>
                <w:t>PART 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both"/>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both"/>
              <w:rPr/>
            </w:pPr>
            <w:hyperlink w:anchor="sh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both"/>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pPr>
            <w:hyperlink w:anchor="sh_004">
              <w:r>
                <w:rPr>
                  <w:rStyle w:val="InternetLink"/>
                  <w:rFonts w:ascii="Times New Roman;Times;Serif" w:hAnsi="Times New Roman;Times;Serif"/>
                  <w:b/>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both"/>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both"/>
              <w:rPr/>
            </w:pPr>
            <w:hyperlink w:anchor="sh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6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FFFFFF" w:val="clear"/>
            <w:vAlign w:val="center"/>
          </w:tcPr>
          <w:p>
            <w:pPr>
              <w:pStyle w:val="TableContents"/>
              <w:bidi w:val="0"/>
              <w:spacing w:before="0" w:after="283"/>
              <w:jc w:val="both"/>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6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both"/>
              <w:rPr/>
            </w:pPr>
            <w:hyperlink w:anchor="sh_008">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FFFFFF" w:val="clear"/>
            <w:vAlign w:val="center"/>
          </w:tcPr>
          <w:p>
            <w:pPr>
              <w:pStyle w:val="TableContents"/>
              <w:bidi w:val="0"/>
              <w:spacing w:before="0" w:after="283"/>
              <w:jc w:val="both"/>
              <w:rPr/>
            </w:pPr>
            <w:hyperlink w:anchor="sh_009">
              <w:r>
                <w:rPr>
                  <w:rStyle w:val="InternetLink"/>
                  <w:rFonts w:ascii="Times New Roman;Times;Serif" w:hAnsi="Times New Roman;Times;Serif"/>
                  <w:b w:val="false"/>
                  <w:i w:val="false"/>
                  <w:caps w:val="false"/>
                  <w:smallCaps w:val="false"/>
                  <w:sz w:val="20"/>
                </w:rPr>
                <w:t>Exhibits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6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960" w:type="dxa"/>
            <w:gridSpan w:val="2"/>
            <w:tcBorders/>
            <w:shd w:fill="FFFFFF" w:val="clear"/>
            <w:vAlign w:val="center"/>
          </w:tcPr>
          <w:p>
            <w:pPr>
              <w:pStyle w:val="TableContents"/>
              <w:bidi w:val="0"/>
              <w:spacing w:before="0" w:after="283"/>
              <w:jc w:val="both"/>
              <w:rPr/>
            </w:pPr>
            <w:hyperlink w:anchor="sh_010">
              <w:r>
                <w:rPr>
                  <w:rStyle w:val="InternetLink"/>
                  <w:rFonts w:ascii="Times New Roman;Times;Serif" w:hAnsi="Times New Roman;Times;Serif"/>
                  <w:b w:val="false"/>
                  <w:i w:val="false"/>
                  <w:caps w:val="false"/>
                  <w:smallCaps w:val="false"/>
                  <w:sz w:val="20"/>
                </w:rPr>
                <w:t>Signatures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“believe,” “estimate,” “predict,” “potential” or “continue” or the negative of these terms or other similar expressions intended to identify statements about the future. These statements speak only as of the date of filing this report with the Securities and Exchange Commission (SEC)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continued listing requirements of The Nasdaq Stock Market LLC (Nasdaq);</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approval for CTx-1301 and the timing of any such approval;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and need for additional capital;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develop and commercialize our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planned clinical trials for our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New Drug Application (NDA) submissions for our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our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utility of our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marketing and manufacturing capabilities and strategy;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strategic partnerships;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cash;</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projections relating to our competitors or our industry;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recruit, and retain key personnel;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time during which we will be an emerging growth company under the Jumpstart Our Business Startups Act of 2012 (JOBS Act);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identify additional product candidates with significant commercial potential that are consistent with our commercial objectives;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revenue and expenses.</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“Risk Factors” section in our Annual Report on Form 10-K for the fiscal year ended December 31, 2025, filed with the SEC on March 18, 2026 (Form 10-K), for a discussion of important factors that may cause our actual results to differ materially from those expressed or implied by our forward-looking statements. We operate in an evolving environment and new risk factors and uncertainties may emerge from time to time. It is not possible for management to predict all risk factors and uncertainties. As a result of these factors, we cannot assure you that the forward-looking statements in this report will prove to be accurate. Except as required by applicable law, we do not plan to publicly update or revise any forward-looking statements contained herein, whether as a result of any new information, future events, changed circumstances or otherwise. You should review the factors and risks and other information we describe in the reports we will file from time to time with the SEC.</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a_001"/>
      <w:bookmarkEnd w:id="3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C_111_zMHSTdDdb125"/>
      <w:bookmarkStart w:id="34" w:name="xdx_30C_111_zMHSTdDdb125"/>
      <w:bookmarkEnd w:id="34"/>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C_20260630_zMTNBbRcS0b2"/>
            <w:bookmarkEnd w:id="35"/>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6_20251231_zigbpTv0RCvd"/>
            <w:bookmarkEnd w:id="36"/>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7" w:name="xdx_40F_eus-gaap--AssetsAbstract_iB_zE9Q"/>
            <w:bookmarkEnd w:id="37"/>
          </w:p>
        </w:tc>
      </w:tr>
      <w:tr>
        <w:trPr/>
        <w:tc>
          <w:tcPr>
            <w:tcW w:w="70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 w:name="xdx_407_eus-gaap--AssetsCurrentAbstract_"/>
            <w:bookmarkEnd w:id="38"/>
          </w:p>
        </w:tc>
      </w:tr>
      <w:tr>
        <w:trPr/>
        <w:tc>
          <w:tcPr>
            <w:tcW w:w="701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 w:name="xdx_401_eus-gaap--CashAndCashEquivalents"/>
            <w:bookmarkEnd w:id="39"/>
          </w:p>
        </w:tc>
      </w:tr>
      <w:tr>
        <w:trPr/>
        <w:tc>
          <w:tcPr>
            <w:tcW w:w="70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28,402,819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10,953,383</w:t>
            </w:r>
          </w:p>
        </w:tc>
        <w:tc>
          <w:tcPr>
            <w:tcW w:w="110" w:type="dxa"/>
            <w:tcBorders/>
            <w:shd w:fill="FFFFFF" w:val="clear"/>
            <w:vAlign w:val="center"/>
          </w:tcPr>
          <w:p>
            <w:pPr>
              <w:pStyle w:val="TableContents"/>
              <w:bidi w:val="0"/>
              <w:spacing w:before="0" w:after="283"/>
              <w:jc w:val="left"/>
              <w:rPr/>
            </w:pPr>
            <w:r>
              <w:rPr/>
              <w:t> </w:t>
            </w:r>
            <w:bookmarkStart w:id="40" w:name="xdx_401_eus-gaap--OtherReceivablesNetCur"/>
            <w:bookmarkEnd w:id="40"/>
          </w:p>
        </w:tc>
      </w:tr>
      <w:tr>
        <w:trPr/>
        <w:tc>
          <w:tcPr>
            <w:tcW w:w="701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38,447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8,013</w:t>
            </w:r>
          </w:p>
        </w:tc>
        <w:tc>
          <w:tcPr>
            <w:tcW w:w="110" w:type="dxa"/>
            <w:tcBorders/>
            <w:shd w:fill="CCEEFF" w:val="clear"/>
            <w:vAlign w:val="center"/>
          </w:tcPr>
          <w:p>
            <w:pPr>
              <w:pStyle w:val="TableContents"/>
              <w:bidi w:val="0"/>
              <w:spacing w:before="0" w:after="283"/>
              <w:jc w:val="left"/>
              <w:rPr/>
            </w:pPr>
            <w:r>
              <w:rPr/>
              <w:t> </w:t>
            </w:r>
            <w:bookmarkStart w:id="41" w:name="xdx_40C_eus-gaap--PrepaidExpenseAndOther"/>
            <w:bookmarkEnd w:id="41"/>
          </w:p>
        </w:tc>
      </w:tr>
      <w:tr>
        <w:trPr/>
        <w:tc>
          <w:tcPr>
            <w:tcW w:w="70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1,766,714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1,046,862</w:t>
            </w:r>
          </w:p>
        </w:tc>
        <w:tc>
          <w:tcPr>
            <w:tcW w:w="110" w:type="dxa"/>
            <w:tcBorders/>
            <w:shd w:fill="FFFFFF" w:val="clear"/>
            <w:vAlign w:val="center"/>
          </w:tcPr>
          <w:p>
            <w:pPr>
              <w:pStyle w:val="TableContents"/>
              <w:bidi w:val="0"/>
              <w:spacing w:before="0" w:after="283"/>
              <w:jc w:val="left"/>
              <w:rPr/>
            </w:pPr>
            <w:r>
              <w:rPr/>
              <w:t> </w:t>
            </w:r>
            <w:bookmarkStart w:id="42" w:name="xdx_407_eus-gaap--AssetsCurrent_i02TI_mt"/>
            <w:bookmarkEnd w:id="42"/>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30,207,980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12,008,258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 w:name="xdx_40F_eus-gaap--PropertyPlantAndEquipm"/>
            <w:bookmarkEnd w:id="43"/>
          </w:p>
        </w:tc>
      </w:tr>
      <w:tr>
        <w:trPr/>
        <w:tc>
          <w:tcPr>
            <w:tcW w:w="701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1,634,754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1,725,919</w:t>
            </w:r>
          </w:p>
        </w:tc>
        <w:tc>
          <w:tcPr>
            <w:tcW w:w="110" w:type="dxa"/>
            <w:tcBorders/>
            <w:shd w:fill="CCEEFF" w:val="clear"/>
            <w:vAlign w:val="center"/>
          </w:tcPr>
          <w:p>
            <w:pPr>
              <w:pStyle w:val="TableContents"/>
              <w:bidi w:val="0"/>
              <w:spacing w:before="0" w:after="283"/>
              <w:jc w:val="left"/>
              <w:rPr/>
            </w:pPr>
            <w:r>
              <w:rPr/>
              <w:t> </w:t>
            </w:r>
            <w:bookmarkStart w:id="44" w:name="xdx_40D_eus-gaap--OperatingLeaseRightOfU"/>
            <w:bookmarkEnd w:id="44"/>
          </w:p>
        </w:tc>
      </w:tr>
      <w:tr>
        <w:trPr/>
        <w:tc>
          <w:tcPr>
            <w:tcW w:w="701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1,223,587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1,339,086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5" w:name="xdx_407_eus-gaap--Assets_i01TI_mtAzAoF_z"/>
            <w:bookmarkEnd w:id="45"/>
          </w:p>
        </w:tc>
      </w:tr>
      <w:tr>
        <w:trPr/>
        <w:tc>
          <w:tcPr>
            <w:tcW w:w="701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33,066,321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15,073,263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 w:name="xdx_40C_eus-gaap--LiabilitiesAndStockhol"/>
            <w:bookmarkEnd w:id="46"/>
          </w:p>
        </w:tc>
      </w:tr>
      <w:tr>
        <w:trPr/>
        <w:tc>
          <w:tcPr>
            <w:tcW w:w="701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7" w:name="xdx_401_eus-gaap--LiabilitiesCurrentAbst"/>
            <w:bookmarkEnd w:id="47"/>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8" w:name="xdx_406_eus-gaap--AccountsPayableCurrent"/>
            <w:bookmarkEnd w:id="48"/>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1,985,870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2,035,685</w:t>
            </w:r>
          </w:p>
        </w:tc>
        <w:tc>
          <w:tcPr>
            <w:tcW w:w="110" w:type="dxa"/>
            <w:tcBorders/>
            <w:shd w:fill="CCEEFF" w:val="clear"/>
            <w:vAlign w:val="center"/>
          </w:tcPr>
          <w:p>
            <w:pPr>
              <w:pStyle w:val="TableContents"/>
              <w:bidi w:val="0"/>
              <w:spacing w:before="0" w:after="283"/>
              <w:jc w:val="left"/>
              <w:rPr/>
            </w:pPr>
            <w:r>
              <w:rPr/>
              <w:t> </w:t>
            </w:r>
            <w:bookmarkStart w:id="49" w:name="xdx_404_eus-gaap--AccruedLiabilitiesCurr"/>
            <w:bookmarkEnd w:id="49"/>
          </w:p>
        </w:tc>
      </w:tr>
      <w:tr>
        <w:trPr/>
        <w:tc>
          <w:tcPr>
            <w:tcW w:w="70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1,322,536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1,742,116</w:t>
            </w:r>
          </w:p>
        </w:tc>
        <w:tc>
          <w:tcPr>
            <w:tcW w:w="110" w:type="dxa"/>
            <w:tcBorders/>
            <w:shd w:fill="FFFFFF" w:val="clear"/>
            <w:vAlign w:val="center"/>
          </w:tcPr>
          <w:p>
            <w:pPr>
              <w:pStyle w:val="TableContents"/>
              <w:bidi w:val="0"/>
              <w:spacing w:before="0" w:after="283"/>
              <w:jc w:val="left"/>
              <w:rPr/>
            </w:pPr>
            <w:r>
              <w:rPr/>
              <w:t> </w:t>
            </w:r>
            <w:bookmarkStart w:id="50" w:name="xdx_403_eus-gaap--NotesPayableCurrent_i0"/>
            <w:bookmarkEnd w:id="50"/>
          </w:p>
        </w:tc>
      </w:tr>
      <w:tr>
        <w:trPr/>
        <w:tc>
          <w:tcPr>
            <w:tcW w:w="7010" w:type="dxa"/>
            <w:tcBorders/>
            <w:shd w:fill="CCEEFF" w:val="clear"/>
            <w:vAlign w:val="center"/>
          </w:tcPr>
          <w:p>
            <w:pPr>
              <w:pStyle w:val="TableContents"/>
              <w:bidi w:val="0"/>
              <w:spacing w:before="0" w:after="283"/>
              <w:jc w:val="left"/>
              <w:rPr/>
            </w:pPr>
            <w:r>
              <w:rPr/>
              <w:t>Note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5,067,293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6,295,960</w:t>
            </w:r>
          </w:p>
        </w:tc>
        <w:tc>
          <w:tcPr>
            <w:tcW w:w="110" w:type="dxa"/>
            <w:tcBorders/>
            <w:shd w:fill="CCEEFF" w:val="clear"/>
            <w:vAlign w:val="center"/>
          </w:tcPr>
          <w:p>
            <w:pPr>
              <w:pStyle w:val="TableContents"/>
              <w:bidi w:val="0"/>
              <w:spacing w:before="0" w:after="283"/>
              <w:jc w:val="left"/>
              <w:rPr/>
            </w:pPr>
            <w:r>
              <w:rPr/>
              <w:t> </w:t>
            </w:r>
            <w:bookmarkStart w:id="51" w:name="xdx_406_eus-gaap--OperatingLeaseLiabilit"/>
            <w:bookmarkEnd w:id="51"/>
          </w:p>
        </w:tc>
      </w:tr>
      <w:tr>
        <w:trPr/>
        <w:tc>
          <w:tcPr>
            <w:tcW w:w="7010" w:type="dxa"/>
            <w:tcBorders/>
            <w:shd w:fill="FFFFFF" w:val="clear"/>
            <w:vAlign w:val="center"/>
          </w:tcPr>
          <w:p>
            <w:pPr>
              <w:pStyle w:val="TableContents"/>
              <w:bidi w:val="0"/>
              <w:spacing w:before="0" w:after="283"/>
              <w:jc w:val="left"/>
              <w:rPr/>
            </w:pPr>
            <w:r>
              <w:rPr/>
              <w:t>Operating 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255,132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238,864</w:t>
            </w:r>
          </w:p>
        </w:tc>
        <w:tc>
          <w:tcPr>
            <w:tcW w:w="110" w:type="dxa"/>
            <w:tcBorders/>
            <w:shd w:fill="FFFFFF" w:val="clear"/>
            <w:vAlign w:val="center"/>
          </w:tcPr>
          <w:p>
            <w:pPr>
              <w:pStyle w:val="TableContents"/>
              <w:bidi w:val="0"/>
              <w:spacing w:before="0" w:after="283"/>
              <w:jc w:val="left"/>
              <w:rPr/>
            </w:pPr>
            <w:r>
              <w:rPr/>
              <w:t> </w:t>
            </w:r>
            <w:bookmarkStart w:id="52" w:name="xdx_403_eus-gaap--LiabilitiesCurrent_i02"/>
            <w:bookmarkEnd w:id="52"/>
          </w:p>
        </w:tc>
      </w:tr>
      <w:tr>
        <w:trPr/>
        <w:tc>
          <w:tcPr>
            <w:tcW w:w="70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8,630,831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10,312,625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 w:name="xdx_404_eus-gaap--LiabilitiesNoncurrentA"/>
            <w:bookmarkEnd w:id="53"/>
          </w:p>
        </w:tc>
      </w:tr>
      <w:tr>
        <w:trPr/>
        <w:tc>
          <w:tcPr>
            <w:tcW w:w="7010" w:type="dxa"/>
            <w:tcBorders/>
            <w:shd w:fill="CCEEFF" w:val="clear"/>
            <w:vAlign w:val="center"/>
          </w:tcPr>
          <w:p>
            <w:pPr>
              <w:pStyle w:val="TableContents"/>
              <w:bidi w:val="0"/>
              <w:spacing w:before="0" w:after="283"/>
              <w:jc w:val="left"/>
              <w:rPr/>
            </w:pPr>
            <w:r>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4" w:name="xdx_40B_eus-gaap--OperatingLeaseLiabilit"/>
            <w:bookmarkEnd w:id="54"/>
          </w:p>
        </w:tc>
      </w:tr>
      <w:tr>
        <w:trPr/>
        <w:tc>
          <w:tcPr>
            <w:tcW w:w="7010" w:type="dxa"/>
            <w:tcBorders/>
            <w:shd w:fill="FFFFFF" w:val="clear"/>
            <w:vAlign w:val="center"/>
          </w:tcPr>
          <w:p>
            <w:pPr>
              <w:pStyle w:val="TableContents"/>
              <w:bidi w:val="0"/>
              <w:spacing w:before="0" w:after="283"/>
              <w:jc w:val="left"/>
              <w:rPr/>
            </w:pPr>
            <w:r>
              <w:rPr/>
              <w:t>Operating lease liability, net of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968,455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1,100,222</w:t>
            </w:r>
          </w:p>
        </w:tc>
        <w:tc>
          <w:tcPr>
            <w:tcW w:w="110" w:type="dxa"/>
            <w:tcBorders/>
            <w:shd w:fill="FFFFFF" w:val="clear"/>
            <w:vAlign w:val="center"/>
          </w:tcPr>
          <w:p>
            <w:pPr>
              <w:pStyle w:val="TableContents"/>
              <w:bidi w:val="0"/>
              <w:spacing w:before="0" w:after="283"/>
              <w:jc w:val="left"/>
              <w:rPr/>
            </w:pPr>
            <w:r>
              <w:rPr/>
              <w:t> </w:t>
            </w:r>
            <w:bookmarkStart w:id="55" w:name="xdx_40E_eus-gaap--LongTermNotesPayable_i"/>
            <w:bookmarkEnd w:id="55"/>
          </w:p>
        </w:tc>
      </w:tr>
      <w:tr>
        <w:trPr/>
        <w:tc>
          <w:tcPr>
            <w:tcW w:w="7010" w:type="dxa"/>
            <w:tcBorders/>
            <w:shd w:fill="CCEEFF" w:val="clear"/>
            <w:vAlign w:val="center"/>
          </w:tcPr>
          <w:p>
            <w:pPr>
              <w:pStyle w:val="TableContents"/>
              <w:bidi w:val="0"/>
              <w:spacing w:before="0" w:after="283"/>
              <w:jc w:val="left"/>
              <w:rPr/>
            </w:pPr>
            <w:r>
              <w:rPr/>
              <w:t>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1,151,509</w:t>
            </w:r>
          </w:p>
        </w:tc>
        <w:tc>
          <w:tcPr>
            <w:tcW w:w="110" w:type="dxa"/>
            <w:tcBorders/>
            <w:shd w:fill="CCEEFF" w:val="clear"/>
            <w:vAlign w:val="center"/>
          </w:tcPr>
          <w:p>
            <w:pPr>
              <w:pStyle w:val="TableContents"/>
              <w:bidi w:val="0"/>
              <w:spacing w:before="0" w:after="283"/>
              <w:jc w:val="left"/>
              <w:rPr/>
            </w:pPr>
            <w:r>
              <w:rPr/>
              <w:t> </w:t>
            </w:r>
            <w:bookmarkStart w:id="56" w:name="xdx_408_eus-gaap--LiabilitiesNoncurrent_"/>
            <w:bookmarkEnd w:id="56"/>
          </w:p>
        </w:tc>
      </w:tr>
      <w:tr>
        <w:trPr/>
        <w:tc>
          <w:tcPr>
            <w:tcW w:w="7010"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968,455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2,251,731</w:t>
            </w:r>
          </w:p>
        </w:tc>
        <w:tc>
          <w:tcPr>
            <w:tcW w:w="110" w:type="dxa"/>
            <w:tcBorders/>
            <w:shd w:fill="FFFFFF" w:val="clear"/>
            <w:vAlign w:val="center"/>
          </w:tcPr>
          <w:p>
            <w:pPr>
              <w:pStyle w:val="TableContents"/>
              <w:bidi w:val="0"/>
              <w:spacing w:before="0" w:after="283"/>
              <w:jc w:val="left"/>
              <w:rPr/>
            </w:pPr>
            <w:r>
              <w:rPr/>
              <w:t> </w:t>
            </w:r>
            <w:bookmarkStart w:id="57" w:name="xdx_40C_eus-gaap--Liabilities_i01TI_mtLz"/>
            <w:bookmarkEnd w:id="57"/>
          </w:p>
        </w:tc>
      </w:tr>
      <w:tr>
        <w:trPr/>
        <w:tc>
          <w:tcPr>
            <w:tcW w:w="701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9,599,286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12,564,356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8" w:name="xdx_409_eus-gaap--StockholdersEquityAbst"/>
            <w:bookmarkEnd w:id="58"/>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 w:name="xdx_40F_eus-gaap--CommonStockValue_i02I_"/>
            <w:bookmarkEnd w:id="59"/>
          </w:p>
        </w:tc>
      </w:tr>
      <w:tr>
        <w:trPr/>
        <w:tc>
          <w:tcPr>
            <w:tcW w:w="7010" w:type="dxa"/>
            <w:tcBorders/>
            <w:shd w:fill="FFFFFF" w:val="clear"/>
            <w:vAlign w:val="center"/>
          </w:tcPr>
          <w:p>
            <w:pPr>
              <w:pStyle w:val="TableContents"/>
              <w:bidi w:val="0"/>
              <w:spacing w:before="0" w:after="283"/>
              <w:jc w:val="left"/>
              <w:rPr/>
            </w:pPr>
            <w:r>
              <w:rPr/>
              <w:t>Common Stock, $</w:t>
            </w:r>
            <w:bookmarkStart w:id="60" w:name="xdx_90B_eus-gaap--CommonStockParOrStated"/>
            <w:bookmarkStart w:id="61" w:name="xdx_90C_eus-gaap--CommonStockParOrStated"/>
            <w:bookmarkEnd w:id="60"/>
            <w:bookmarkEnd w:id="61"/>
            <w:r>
              <w:rPr/>
              <w:t xml:space="preserve">0.0001 par value; </w:t>
            </w:r>
            <w:bookmarkStart w:id="62" w:name="xdx_90F_eus-gaap--CommonStockSharesAutho"/>
            <w:bookmarkStart w:id="63" w:name="xdx_900_eus-gaap--CommonStockSharesAutho"/>
            <w:bookmarkEnd w:id="62"/>
            <w:bookmarkEnd w:id="63"/>
            <w:r>
              <w:rPr/>
              <w:t xml:space="preserve">240,000,000 shares authorized and </w:t>
            </w:r>
            <w:bookmarkStart w:id="64" w:name="xdx_90F_eus-gaap--CommonStockSharesOutst"/>
            <w:bookmarkStart w:id="65" w:name="xdx_900_eus-gaap--CommonStockSharesIssue"/>
            <w:bookmarkEnd w:id="64"/>
            <w:bookmarkEnd w:id="65"/>
            <w:r>
              <w:rPr/>
              <w:t xml:space="preserve">13,894,882 and </w:t>
            </w:r>
            <w:bookmarkStart w:id="66" w:name="xdx_900_eus-gaap--CommonStockSharesOutst"/>
            <w:bookmarkStart w:id="67" w:name="xdx_908_eus-gaap--CommonStockSharesIssue"/>
            <w:bookmarkEnd w:id="66"/>
            <w:bookmarkEnd w:id="67"/>
            <w:r>
              <w:rPr/>
              <w:t>7,250,299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bookmarkStart w:id="68" w:name="xdx_404_eus-gaap--PreferredStockValue_i0"/>
            <w:bookmarkEnd w:id="68"/>
          </w:p>
        </w:tc>
      </w:tr>
      <w:tr>
        <w:trPr/>
        <w:tc>
          <w:tcPr>
            <w:tcW w:w="7010" w:type="dxa"/>
            <w:tcBorders/>
            <w:shd w:fill="CCEEFF" w:val="clear"/>
            <w:vAlign w:val="center"/>
          </w:tcPr>
          <w:p>
            <w:pPr>
              <w:pStyle w:val="TableContents"/>
              <w:bidi w:val="0"/>
              <w:spacing w:before="0" w:after="283"/>
              <w:jc w:val="left"/>
              <w:rPr/>
            </w:pPr>
            <w:r>
              <w:rPr/>
              <w:t>Preferred Stock, $</w:t>
            </w:r>
            <w:bookmarkStart w:id="69" w:name="xdx_90A_eus-gaap--PreferredStockParOrSta"/>
            <w:bookmarkStart w:id="70" w:name="xdx_90B_eus-gaap--PreferredStockParOrSta"/>
            <w:bookmarkEnd w:id="69"/>
            <w:bookmarkEnd w:id="70"/>
            <w:r>
              <w:rPr/>
              <w:t xml:space="preserve">0.0001 par value; </w:t>
            </w:r>
            <w:bookmarkStart w:id="71" w:name="xdx_908_eus-gaap--PreferredStockSharesAu"/>
            <w:bookmarkStart w:id="72" w:name="xdx_906_eus-gaap--PreferredStockSharesAu"/>
            <w:bookmarkEnd w:id="71"/>
            <w:bookmarkEnd w:id="72"/>
            <w:r>
              <w:rPr/>
              <w:t xml:space="preserve">10,000,000 shares authorized and </w:t>
            </w:r>
            <w:bookmarkStart w:id="73" w:name="xdx_900_eus-gaap--PreferredStockSharesOu"/>
            <w:bookmarkStart w:id="74" w:name="xdx_90B_eus-gaap--PreferredStockSharesIs"/>
            <w:bookmarkStart w:id="75" w:name="xdx_901_eus-gaap--PreferredStockSharesOu"/>
            <w:bookmarkStart w:id="76" w:name="xdx_905_eus-gaap--PreferredStockSharesIs"/>
            <w:bookmarkEnd w:id="73"/>
            <w:bookmarkEnd w:id="74"/>
            <w:bookmarkEnd w:id="75"/>
            <w:bookmarkEnd w:id="76"/>
            <w:r>
              <w:rPr/>
              <w:t>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7" w:name="xdx_400_eus-gaap--AdditionalPaidInCapita"/>
            <w:bookmarkEnd w:id="77"/>
          </w:p>
        </w:tc>
      </w:tr>
      <w:tr>
        <w:trPr/>
        <w:tc>
          <w:tcPr>
            <w:tcW w:w="7010"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171,023,030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134,883,213</w:t>
            </w:r>
          </w:p>
        </w:tc>
        <w:tc>
          <w:tcPr>
            <w:tcW w:w="110" w:type="dxa"/>
            <w:tcBorders/>
            <w:shd w:fill="FFFFFF" w:val="clear"/>
            <w:vAlign w:val="center"/>
          </w:tcPr>
          <w:p>
            <w:pPr>
              <w:pStyle w:val="TableContents"/>
              <w:bidi w:val="0"/>
              <w:spacing w:before="0" w:after="283"/>
              <w:jc w:val="left"/>
              <w:rPr/>
            </w:pPr>
            <w:r>
              <w:rPr/>
              <w:t> </w:t>
            </w:r>
            <w:bookmarkStart w:id="78" w:name="xdx_40D_eus-gaap--RetainedEarningsAccumu"/>
            <w:bookmarkEnd w:id="78"/>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(147,557,384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(132,375,031</w:t>
            </w:r>
          </w:p>
        </w:tc>
        <w:tc>
          <w:tcPr>
            <w:tcW w:w="110" w:type="dxa"/>
            <w:tcBorders/>
            <w:shd w:fill="CCEEFF" w:val="clear"/>
            <w:vAlign w:val="center"/>
          </w:tcPr>
          <w:p>
            <w:pPr>
              <w:pStyle w:val="TableContents"/>
              <w:bidi w:val="0"/>
              <w:spacing w:before="0" w:after="283"/>
              <w:jc w:val="left"/>
              <w:rPr/>
            </w:pPr>
            <w:r>
              <w:rPr/>
              <w:t>)</w:t>
            </w:r>
            <w:bookmarkStart w:id="79" w:name="xdx_406_eus-gaap--StockholdersEquity_i02"/>
            <w:bookmarkEnd w:id="79"/>
          </w:p>
        </w:tc>
      </w:tr>
      <w:tr>
        <w:trPr/>
        <w:tc>
          <w:tcPr>
            <w:tcW w:w="7010"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23,467,035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2,508,907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0" w:name="xdx_409_eus-gaap--LiabilitiesAndStockhol"/>
            <w:bookmarkEnd w:id="80"/>
          </w:p>
        </w:tc>
      </w:tr>
      <w:tr>
        <w:trPr/>
        <w:tc>
          <w:tcPr>
            <w:tcW w:w="701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33,066,321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15,073,263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1" w:name="xdx_308_113_z0JIJWicFJXh"/>
      <w:bookmarkStart w:id="82" w:name="xdx_308_113_z0JIJWicFJXh"/>
      <w:bookmarkEnd w:id="82"/>
    </w:p>
    <w:tbl>
      <w:tblPr>
        <w:tblW w:w="10205" w:type="dxa"/>
        <w:jc w:val="left"/>
        <w:tblInd w:w="0" w:type="dxa"/>
        <w:tblLayout w:type="fixed"/>
        <w:tblCellMar>
          <w:top w:w="0" w:type="dxa"/>
          <w:left w:w="0" w:type="dxa"/>
          <w:bottom w:w="0" w:type="dxa"/>
          <w:right w:w="0" w:type="dxa"/>
        </w:tblCellMar>
      </w:tblPr>
      <w:tblGrid>
        <w:gridCol w:w="4401"/>
        <w:gridCol w:w="60"/>
        <w:gridCol w:w="149"/>
        <w:gridCol w:w="1173"/>
        <w:gridCol w:w="101"/>
        <w:gridCol w:w="63"/>
        <w:gridCol w:w="149"/>
        <w:gridCol w:w="1125"/>
        <w:gridCol w:w="95"/>
        <w:gridCol w:w="60"/>
        <w:gridCol w:w="142"/>
        <w:gridCol w:w="1197"/>
        <w:gridCol w:w="96"/>
        <w:gridCol w:w="60"/>
        <w:gridCol w:w="142"/>
        <w:gridCol w:w="1075"/>
        <w:gridCol w:w="117"/>
      </w:tblGrid>
      <w:tr>
        <w:trPr/>
        <w:tc>
          <w:tcPr>
            <w:tcW w:w="4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 w:name="xdx_490_20260401__20260630_zfBOJT128wf2"/>
            <w:bookmarkEnd w:id="83"/>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84" w:name="xdx_495_20250401__20250630_zSekSWN8qH93"/>
            <w:bookmarkEnd w:id="84"/>
          </w:p>
        </w:tc>
        <w:tc>
          <w:tcPr>
            <w:tcW w:w="12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 w:name="xdx_49F_20260101__20260630_zBEbvi0E6R7"/>
            <w:bookmarkEnd w:id="85"/>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5_20250101__20250630_zKIXXRyry2Y2"/>
            <w:bookmarkEnd w:id="86"/>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4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bookmarkStart w:id="87" w:name="xdx_40A_eus-gaap--OperatingExpensesAbstr"/>
            <w:bookmarkEnd w:id="87"/>
          </w:p>
        </w:tc>
      </w:tr>
      <w:tr>
        <w:trPr/>
        <w:tc>
          <w:tcPr>
            <w:tcW w:w="4401"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88" w:name="xdx_40B_eus-gaap--ResearchAndDevelopment"/>
            <w:bookmarkEnd w:id="88"/>
          </w:p>
        </w:tc>
      </w:tr>
      <w:tr>
        <w:trPr/>
        <w:tc>
          <w:tcPr>
            <w:tcW w:w="4401"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1,486,825</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2,700,939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3,671,143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075" w:type="dxa"/>
            <w:tcBorders/>
            <w:shd w:fill="FFFFFF" w:val="clear"/>
            <w:vAlign w:val="center"/>
          </w:tcPr>
          <w:p>
            <w:pPr>
              <w:pStyle w:val="TableContents"/>
              <w:bidi w:val="0"/>
              <w:spacing w:before="0" w:after="283"/>
              <w:jc w:val="right"/>
              <w:rPr/>
            </w:pPr>
            <w:r>
              <w:rPr/>
              <w:t>4,923,565</w:t>
            </w:r>
          </w:p>
        </w:tc>
        <w:tc>
          <w:tcPr>
            <w:tcW w:w="117" w:type="dxa"/>
            <w:tcBorders/>
            <w:shd w:fill="FFFFFF" w:val="clear"/>
            <w:vAlign w:val="center"/>
          </w:tcPr>
          <w:p>
            <w:pPr>
              <w:pStyle w:val="TableContents"/>
              <w:bidi w:val="0"/>
              <w:spacing w:before="0" w:after="283"/>
              <w:jc w:val="left"/>
              <w:rPr/>
            </w:pPr>
            <w:r>
              <w:rPr/>
              <w:t> </w:t>
            </w:r>
            <w:bookmarkStart w:id="89" w:name="xdx_404_eus-gaap--SellingGeneralAndAdmin"/>
            <w:bookmarkEnd w:id="89"/>
          </w:p>
        </w:tc>
      </w:tr>
      <w:tr>
        <w:trPr/>
        <w:tc>
          <w:tcPr>
            <w:tcW w:w="4401"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3,928,150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1,949,035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9,667,054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pPr>
            <w:r>
              <w:rPr/>
              <w:t>3,432,444</w:t>
            </w:r>
          </w:p>
        </w:tc>
        <w:tc>
          <w:tcPr>
            <w:tcW w:w="117" w:type="dxa"/>
            <w:tcBorders/>
            <w:shd w:fill="CCEEFF" w:val="clear"/>
            <w:vAlign w:val="center"/>
          </w:tcPr>
          <w:p>
            <w:pPr>
              <w:pStyle w:val="TableContents"/>
              <w:bidi w:val="0"/>
              <w:spacing w:before="0" w:after="283"/>
              <w:jc w:val="left"/>
              <w:rPr/>
            </w:pPr>
            <w:r>
              <w:rPr/>
              <w:t> </w:t>
            </w:r>
            <w:bookmarkStart w:id="90" w:name="xdx_400_eus-gaap--OperatingIncomeLoss_i0"/>
            <w:bookmarkEnd w:id="90"/>
          </w:p>
        </w:tc>
      </w:tr>
      <w:tr>
        <w:trPr/>
        <w:tc>
          <w:tcPr>
            <w:tcW w:w="4401"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b/>
              </w:rPr>
            </w:pPr>
            <w:r>
              <w:rPr>
                <w:b/>
              </w:rPr>
              <w:t>(5,414,975</w:t>
            </w:r>
          </w:p>
        </w:tc>
        <w:tc>
          <w:tcPr>
            <w:tcW w:w="101"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b/>
              </w:rPr>
            </w:pPr>
            <w:r>
              <w:rPr>
                <w:b/>
              </w:rPr>
              <w:t>(4,649,974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b/>
              </w:rPr>
            </w:pPr>
            <w:r>
              <w:rPr>
                <w:b/>
              </w:rPr>
              <w:t>(13,338,197</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(8,356,009</w:t>
            </w:r>
          </w:p>
        </w:tc>
        <w:tc>
          <w:tcPr>
            <w:tcW w:w="117" w:type="dxa"/>
            <w:tcBorders/>
            <w:shd w:fill="FFFFFF" w:val="clear"/>
            <w:vAlign w:val="center"/>
          </w:tcPr>
          <w:p>
            <w:pPr>
              <w:pStyle w:val="TableContents"/>
              <w:bidi w:val="0"/>
              <w:spacing w:before="0" w:after="283"/>
              <w:jc w:val="left"/>
              <w:rPr>
                <w:b/>
              </w:rPr>
            </w:pPr>
            <w:r>
              <w:rPr>
                <w:b/>
              </w:rPr>
              <w:t>)</w:t>
            </w:r>
          </w:p>
        </w:tc>
      </w:tr>
      <w:tr>
        <w:trPr/>
        <w:tc>
          <w:tcPr>
            <w:tcW w:w="44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91" w:name="xdx_405_ecustom--ChangeInFairValueOfDeri"/>
            <w:bookmarkEnd w:id="91"/>
          </w:p>
        </w:tc>
      </w:tr>
      <w:tr>
        <w:trPr/>
        <w:tc>
          <w:tcPr>
            <w:tcW w:w="4401"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(314,013</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(194,526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(1,166,043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(244,513</w:t>
            </w:r>
          </w:p>
        </w:tc>
        <w:tc>
          <w:tcPr>
            <w:tcW w:w="117" w:type="dxa"/>
            <w:tcBorders/>
            <w:shd w:fill="FFFFFF" w:val="clear"/>
            <w:vAlign w:val="center"/>
          </w:tcPr>
          <w:p>
            <w:pPr>
              <w:pStyle w:val="TableContents"/>
              <w:bidi w:val="0"/>
              <w:spacing w:before="0" w:after="283"/>
              <w:jc w:val="left"/>
              <w:rPr/>
            </w:pPr>
            <w:r>
              <w:rPr/>
              <w:t>)</w:t>
            </w:r>
            <w:bookmarkStart w:id="92" w:name="xdx_406_eus-gaap--InterestIncomeExpenseN"/>
            <w:bookmarkEnd w:id="92"/>
          </w:p>
        </w:tc>
      </w:tr>
      <w:tr>
        <w:trPr/>
        <w:tc>
          <w:tcPr>
            <w:tcW w:w="4401" w:type="dxa"/>
            <w:tcBorders/>
            <w:shd w:fill="CCEEFF" w:val="clear"/>
            <w:vAlign w:val="center"/>
          </w:tcPr>
          <w:p>
            <w:pPr>
              <w:pStyle w:val="TableContents"/>
              <w:bidi w:val="0"/>
              <w:spacing w:before="0" w:after="283"/>
              <w:jc w:val="left"/>
              <w:rPr/>
            </w:pPr>
            <w:r>
              <w:rPr/>
              <w:t>Interest and other income (expense), 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(141,276</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(138,761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(678,113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pPr>
            <w:r>
              <w:rPr/>
              <w:t>(235,417</w:t>
            </w:r>
          </w:p>
        </w:tc>
        <w:tc>
          <w:tcPr>
            <w:tcW w:w="117" w:type="dxa"/>
            <w:tcBorders/>
            <w:shd w:fill="CCEEFF" w:val="clear"/>
            <w:vAlign w:val="center"/>
          </w:tcPr>
          <w:p>
            <w:pPr>
              <w:pStyle w:val="TableContents"/>
              <w:bidi w:val="0"/>
              <w:spacing w:before="0" w:after="283"/>
              <w:jc w:val="left"/>
              <w:rPr/>
            </w:pPr>
            <w:r>
              <w:rPr/>
              <w:t>)</w:t>
            </w:r>
          </w:p>
        </w:tc>
      </w:tr>
      <w:tr>
        <w:trPr/>
        <w:tc>
          <w:tcPr>
            <w:tcW w:w="44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93" w:name="xdx_400_eus-gaap--IncomeLossFromContinui"/>
            <w:bookmarkEnd w:id="93"/>
          </w:p>
        </w:tc>
      </w:tr>
      <w:tr>
        <w:trPr/>
        <w:tc>
          <w:tcPr>
            <w:tcW w:w="4401"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(5,870,264</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(4,983,261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(15,182,353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(8,835,939</w:t>
            </w:r>
          </w:p>
        </w:tc>
        <w:tc>
          <w:tcPr>
            <w:tcW w:w="117" w:type="dxa"/>
            <w:tcBorders/>
            <w:shd w:fill="CCEEFF" w:val="clear"/>
            <w:vAlign w:val="center"/>
          </w:tcPr>
          <w:p>
            <w:pPr>
              <w:pStyle w:val="TableContents"/>
              <w:bidi w:val="0"/>
              <w:spacing w:before="0" w:after="283"/>
              <w:jc w:val="left"/>
              <w:rPr/>
            </w:pPr>
            <w:r>
              <w:rPr/>
              <w:t>)</w:t>
            </w:r>
            <w:bookmarkStart w:id="94" w:name="xdx_404_eus-gaap--IncomeTaxExpenseBenefi"/>
            <w:bookmarkEnd w:id="94"/>
          </w:p>
        </w:tc>
      </w:tr>
      <w:tr>
        <w:trPr/>
        <w:tc>
          <w:tcPr>
            <w:tcW w:w="4401"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r>
      <w:tr>
        <w:trPr/>
        <w:tc>
          <w:tcPr>
            <w:tcW w:w="44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bookmarkStart w:id="95" w:name="xdx_409_eus-gaap--NetIncomeLoss_iT_mtNIL"/>
            <w:bookmarkEnd w:id="95"/>
          </w:p>
        </w:tc>
      </w:tr>
      <w:tr>
        <w:trPr/>
        <w:tc>
          <w:tcPr>
            <w:tcW w:w="4401" w:type="dxa"/>
            <w:tcBorders/>
            <w:shd w:fill="FFFFFF" w:val="clear"/>
            <w:vAlign w:val="center"/>
          </w:tcPr>
          <w:p>
            <w:pPr>
              <w:pStyle w:val="TableContents"/>
              <w:bidi w:val="0"/>
              <w:spacing w:before="0" w:after="283"/>
              <w:jc w:val="left"/>
              <w:rPr>
                <w:b/>
              </w:rPr>
            </w:pPr>
            <w:r>
              <w:rPr>
                <w:b/>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(5,870,264</w:t>
            </w:r>
          </w:p>
        </w:tc>
        <w:tc>
          <w:tcPr>
            <w:tcW w:w="101"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(4,983,261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(15,182,353</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(8,835,939</w:t>
            </w:r>
          </w:p>
        </w:tc>
        <w:tc>
          <w:tcPr>
            <w:tcW w:w="117" w:type="dxa"/>
            <w:tcBorders/>
            <w:shd w:fill="FFFFFF" w:val="clear"/>
            <w:vAlign w:val="center"/>
          </w:tcPr>
          <w:p>
            <w:pPr>
              <w:pStyle w:val="TableContents"/>
              <w:bidi w:val="0"/>
              <w:spacing w:before="0" w:after="283"/>
              <w:jc w:val="left"/>
              <w:rPr>
                <w:b/>
              </w:rPr>
            </w:pPr>
            <w:r>
              <w:rPr>
                <w:b/>
              </w:rPr>
              <w:t>)</w:t>
            </w:r>
          </w:p>
        </w:tc>
      </w:tr>
      <w:tr>
        <w:trPr/>
        <w:tc>
          <w:tcPr>
            <w:tcW w:w="44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Net loss per share of common stock, basic and diluted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6" w:name="xdx_909_eus-gaap--EarningsPerShareDilute"/>
            <w:bookmarkStart w:id="97" w:name="xdx_907_eus-gaap--EarningsPerShareBasic_"/>
            <w:bookmarkEnd w:id="96"/>
            <w:bookmarkEnd w:id="97"/>
            <w:r>
              <w:rPr/>
              <w:t>(0.45</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8" w:name="xdx_90B_eus-gaap--EarningsPerShareDilute"/>
            <w:bookmarkStart w:id="99" w:name="xdx_906_eus-gaap--EarningsPerShareBasic_"/>
            <w:bookmarkEnd w:id="98"/>
            <w:bookmarkEnd w:id="99"/>
            <w:r>
              <w:rPr/>
              <w:t>(1.14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0" w:name="xdx_90F_eus-gaap--EarningsPerShareDilute"/>
            <w:bookmarkStart w:id="101" w:name="xdx_904_eus-gaap--EarningsPerShareBasic_"/>
            <w:bookmarkEnd w:id="100"/>
            <w:bookmarkEnd w:id="101"/>
            <w:r>
              <w:rPr/>
              <w:t>(1.32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2" w:name="xdx_906_eus-gaap--EarningsPerShareDilute"/>
            <w:bookmarkStart w:id="103" w:name="xdx_908_eus-gaap--EarningsPerShareBasic_"/>
            <w:bookmarkEnd w:id="102"/>
            <w:bookmarkEnd w:id="103"/>
            <w:r>
              <w:rPr/>
              <w:t>(2.20</w:t>
            </w:r>
          </w:p>
        </w:tc>
        <w:tc>
          <w:tcPr>
            <w:tcW w:w="117" w:type="dxa"/>
            <w:tcBorders/>
            <w:shd w:fill="FFFFFF" w:val="clear"/>
            <w:vAlign w:val="center"/>
          </w:tcPr>
          <w:p>
            <w:pPr>
              <w:pStyle w:val="TableContents"/>
              <w:bidi w:val="0"/>
              <w:spacing w:before="0" w:after="283"/>
              <w:jc w:val="left"/>
              <w:rPr/>
            </w:pPr>
            <w:r>
              <w:rPr/>
              <w:t>)</w:t>
            </w:r>
          </w:p>
        </w:tc>
      </w:tr>
      <w:tr>
        <w:trPr/>
        <w:tc>
          <w:tcPr>
            <w:tcW w:w="44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Weighted average number of shares used in computing net loss per share of common stock, basic and diluted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4" w:name="xdx_902_eus-gaap--WeightedAverageNumberO"/>
            <w:bookmarkStart w:id="105" w:name="xdx_900_eus-gaap--WeightedAverageNumberO"/>
            <w:bookmarkEnd w:id="104"/>
            <w:bookmarkEnd w:id="105"/>
            <w:r>
              <w:rPr/>
              <w:t>13,186,057</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6" w:name="xdx_905_eus-gaap--WeightedAverageNumberO"/>
            <w:bookmarkStart w:id="107" w:name="xdx_90C_eus-gaap--WeightedAverageNumberO"/>
            <w:bookmarkEnd w:id="106"/>
            <w:bookmarkEnd w:id="107"/>
            <w:r>
              <w:rPr/>
              <w:t>4,389,465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8" w:name="xdx_908_eus-gaap--WeightedAverageNumberO"/>
            <w:bookmarkStart w:id="109" w:name="xdx_906_eus-gaap--WeightedAverageNumberO"/>
            <w:bookmarkEnd w:id="108"/>
            <w:bookmarkEnd w:id="109"/>
            <w:r>
              <w:rPr/>
              <w:t>11,477,983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0" w:name="xdx_904_eus-gaap--WeightedAverageNumberO"/>
            <w:bookmarkStart w:id="111" w:name="xdx_904_eus-gaap--WeightedAverageNumberO"/>
            <w:bookmarkEnd w:id="110"/>
            <w:bookmarkEnd w:id="111"/>
            <w:r>
              <w:rPr/>
              <w:t>4,020,231</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C_114_zU9vwe1a2e56"/>
      <w:bookmarkStart w:id="113" w:name="xdx_30C_114_zU9vwe1a2e56"/>
      <w:bookmarkEnd w:id="113"/>
    </w:p>
    <w:tbl>
      <w:tblPr>
        <w:tblW w:w="11807"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72"/>
        <w:gridCol w:w="688"/>
        <w:gridCol w:w="60"/>
        <w:gridCol w:w="60"/>
        <w:gridCol w:w="107"/>
        <w:gridCol w:w="603"/>
        <w:gridCol w:w="106"/>
        <w:gridCol w:w="66"/>
        <w:gridCol w:w="506"/>
        <w:gridCol w:w="354"/>
        <w:gridCol w:w="60"/>
        <w:gridCol w:w="60"/>
        <w:gridCol w:w="140"/>
        <w:gridCol w:w="1220"/>
        <w:gridCol w:w="95"/>
        <w:gridCol w:w="60"/>
        <w:gridCol w:w="140"/>
        <w:gridCol w:w="1295"/>
        <w:gridCol w:w="95"/>
        <w:gridCol w:w="60"/>
        <w:gridCol w:w="958"/>
        <w:gridCol w:w="652"/>
        <w:gridCol w:w="60"/>
        <w:gridCol w:w="60"/>
        <w:gridCol w:w="151"/>
        <w:gridCol w:w="1189"/>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BB_us-gaap--StatementEquityComponen"/>
            <w:bookmarkEnd w:id="114"/>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15" w:name="xdx_4B7_us-gaap--StatementEquityComponen"/>
            <w:bookmarkEnd w:id="115"/>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B_us-gaap--StatementEquityComponen"/>
            <w:bookmarkEnd w:id="116"/>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F_us-gaap--StatementEquityComponen"/>
            <w:bookmarkEnd w:id="117"/>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C_us-gaap--StatementEquityComponen"/>
            <w:bookmarkEnd w:id="118"/>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7_zwI8xQNjFyL1"/>
            <w:bookmarkEnd w:id="119"/>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jc w:val="center"/>
              <w:rPr>
                <w:b/>
              </w:rPr>
            </w:pPr>
            <w:r>
              <w:rPr>
                <w:b/>
              </w:rPr>
              <w:t>Additional</w:t>
            </w:r>
          </w:p>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20" w:name="xdx_435_c20250101__20250331_eus-gaap--St"/>
            <w:bookmarkEnd w:id="120"/>
          </w:p>
        </w:tc>
      </w:tr>
      <w:tr>
        <w:trPr/>
        <w:tc>
          <w:tcPr>
            <w:tcW w:w="1340"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B_eus-gaap--SharesOutstanding_iS_p"/>
            <w:bookmarkEnd w:id="121"/>
          </w:p>
        </w:tc>
        <w:tc>
          <w:tcPr>
            <w:tcW w:w="1100" w:type="dxa"/>
            <w:tcBorders/>
            <w:shd w:fill="CCEEFF" w:val="clear"/>
            <w:vAlign w:val="center"/>
          </w:tcPr>
          <w:p>
            <w:pPr>
              <w:pStyle w:val="TableContents"/>
              <w:bidi w:val="0"/>
              <w:spacing w:before="0" w:after="283"/>
              <w:jc w:val="right"/>
              <w:rPr>
                <w:b/>
              </w:rPr>
            </w:pPr>
            <w:r>
              <w:rPr>
                <w:b/>
              </w:rPr>
              <w:t>3,402,306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b/>
              </w:rPr>
            </w:pPr>
            <w:r>
              <w:rPr>
                <w:b/>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bookmarkStart w:id="122" w:name="xdx_989_eus-gaap--SharesOutstanding_iS_p"/>
            <w:bookmarkEnd w:id="122"/>
          </w:p>
        </w:tc>
        <w:tc>
          <w:tcPr>
            <w:tcW w:w="603" w:type="dxa"/>
            <w:tcBorders/>
            <w:shd w:fill="CCEEFF" w:val="clear"/>
            <w:vAlign w:val="center"/>
          </w:tcPr>
          <w:p>
            <w:pPr>
              <w:pStyle w:val="TableContents"/>
              <w:bidi w:val="0"/>
              <w:spacing w:before="0" w:after="283"/>
              <w:jc w:val="righ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117,380,285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(109,925,120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b/>
              </w:rPr>
            </w:pPr>
            <w:r>
              <w:rPr>
                <w:b/>
              </w:rPr>
              <w:t>$</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1189" w:type="dxa"/>
            <w:tcBorders/>
            <w:shd w:fill="CCEEFF" w:val="clear"/>
            <w:vAlign w:val="center"/>
          </w:tcPr>
          <w:p>
            <w:pPr>
              <w:pStyle w:val="TableContents"/>
              <w:bidi w:val="0"/>
              <w:spacing w:before="0" w:after="283"/>
              <w:jc w:val="right"/>
              <w:rPr>
                <w:b/>
              </w:rPr>
            </w:pPr>
            <w:r>
              <w:rPr>
                <w:b/>
              </w:rPr>
              <w:t>7,455,505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Activity for the three months to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F_eus-gaap--StockIssuedDuringPerio"/>
            <w:bookmarkEnd w:id="123"/>
          </w:p>
        </w:tc>
      </w:tr>
      <w:tr>
        <w:trPr/>
        <w:tc>
          <w:tcPr>
            <w:tcW w:w="1340" w:type="dxa"/>
            <w:tcBorders/>
            <w:shd w:fill="CCEEFF" w:val="clear"/>
            <w:vAlign w:val="center"/>
          </w:tcPr>
          <w:p>
            <w:pPr>
              <w:pStyle w:val="TableContents"/>
              <w:bidi w:val="0"/>
              <w:spacing w:before="0" w:after="283"/>
              <w:jc w:val="left"/>
              <w:rPr/>
            </w:pPr>
            <w:r>
              <w:rPr/>
              <w:t>Issuance of common stock in connection with At the Market Offering and Purchase Agreement, net of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 w:name="xdx_98A_eus-gaap--StockIssuedDuringPerio"/>
            <w:bookmarkEnd w:id="124"/>
          </w:p>
        </w:tc>
        <w:tc>
          <w:tcPr>
            <w:tcW w:w="1100" w:type="dxa"/>
            <w:tcBorders/>
            <w:shd w:fill="CCEEFF" w:val="clear"/>
            <w:vAlign w:val="center"/>
          </w:tcPr>
          <w:p>
            <w:pPr>
              <w:pStyle w:val="TableContents"/>
              <w:bidi w:val="0"/>
              <w:spacing w:before="0" w:after="283"/>
              <w:jc w:val="right"/>
              <w:rPr/>
            </w:pPr>
            <w:r>
              <w:rPr/>
              <w:t>423,893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1,920,315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1,920,357</w:t>
            </w:r>
          </w:p>
        </w:tc>
        <w:tc>
          <w:tcPr>
            <w:tcW w:w="110" w:type="dxa"/>
            <w:tcBorders/>
            <w:shd w:fill="CCEEFF" w:val="clear"/>
            <w:vAlign w:val="center"/>
          </w:tcPr>
          <w:p>
            <w:pPr>
              <w:pStyle w:val="TableContents"/>
              <w:bidi w:val="0"/>
              <w:spacing w:before="0" w:after="283"/>
              <w:jc w:val="left"/>
              <w:rPr/>
            </w:pPr>
            <w:r>
              <w:rPr/>
              <w:t> </w:t>
            </w:r>
            <w:bookmarkStart w:id="125" w:name="xdx_40A_ecustom--StockIssuedDuringPeriod"/>
            <w:bookmarkEnd w:id="125"/>
          </w:p>
        </w:tc>
      </w:tr>
      <w:tr>
        <w:trPr/>
        <w:tc>
          <w:tcPr>
            <w:tcW w:w="1340"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49,987</w:t>
            </w:r>
          </w:p>
        </w:tc>
        <w:tc>
          <w:tcPr>
            <w:tcW w:w="110" w:type="dxa"/>
            <w:tcBorders/>
            <w:shd w:fill="FFFFFF" w:val="clear"/>
            <w:vAlign w:val="center"/>
          </w:tcPr>
          <w:p>
            <w:pPr>
              <w:pStyle w:val="TableContents"/>
              <w:bidi w:val="0"/>
              <w:spacing w:before="0" w:after="283"/>
              <w:jc w:val="left"/>
              <w:rPr/>
            </w:pPr>
            <w:r>
              <w:rPr/>
              <w:t> </w:t>
            </w:r>
            <w:bookmarkStart w:id="126" w:name="xdx_404_eus-gaap--AdjustmentsToAdditiona"/>
            <w:bookmarkEnd w:id="126"/>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357,649</w:t>
            </w:r>
          </w:p>
        </w:tc>
        <w:tc>
          <w:tcPr>
            <w:tcW w:w="110" w:type="dxa"/>
            <w:tcBorders/>
            <w:shd w:fill="CCEEFF" w:val="clear"/>
            <w:vAlign w:val="center"/>
          </w:tcPr>
          <w:p>
            <w:pPr>
              <w:pStyle w:val="TableContents"/>
              <w:bidi w:val="0"/>
              <w:spacing w:before="0" w:after="283"/>
              <w:jc w:val="left"/>
              <w:rPr/>
            </w:pPr>
            <w:r>
              <w:rPr/>
              <w:t> </w:t>
            </w:r>
            <w:bookmarkStart w:id="127" w:name="xdx_404_eus-gaap--NetIncomeLoss_z8lUBCne"/>
            <w:bookmarkEnd w:id="127"/>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(3,852,678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(3,852,678</w:t>
            </w:r>
          </w:p>
        </w:tc>
        <w:tc>
          <w:tcPr>
            <w:tcW w:w="110" w:type="dxa"/>
            <w:tcBorders/>
            <w:shd w:fill="FFFFFF" w:val="clear"/>
            <w:vAlign w:val="center"/>
          </w:tcPr>
          <w:p>
            <w:pPr>
              <w:pStyle w:val="TableContents"/>
              <w:bidi w:val="0"/>
              <w:spacing w:before="0" w:after="283"/>
              <w:jc w:val="left"/>
              <w:rPr/>
            </w:pPr>
            <w:r>
              <w:rPr/>
              <w:t>)</w:t>
            </w:r>
            <w:bookmarkStart w:id="128" w:name="xdx_432_c20250401__20250630_eus-gaap--St"/>
            <w:bookmarkEnd w:id="128"/>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9" w:name="xdx_98C_eus-gaap--SharesOutstanding_iS_p"/>
            <w:bookmarkEnd w:id="12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3,826,199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0" w:name="xdx_98F_eus-gaap--SharesOutstanding_iS_p"/>
            <w:bookmarkEnd w:id="130"/>
          </w:p>
        </w:tc>
        <w:tc>
          <w:tcPr>
            <w:tcW w:w="6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119,708,236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(113,777,798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5,930,820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Activity for the three months to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9_eus-gaap--StockIssuedDuringPerio"/>
            <w:bookmarkEnd w:id="131"/>
          </w:p>
        </w:tc>
      </w:tr>
      <w:tr>
        <w:trPr/>
        <w:tc>
          <w:tcPr>
            <w:tcW w:w="1340" w:type="dxa"/>
            <w:tcBorders/>
            <w:shd w:fill="CCEEFF" w:val="clear"/>
            <w:vAlign w:val="center"/>
          </w:tcPr>
          <w:p>
            <w:pPr>
              <w:pStyle w:val="TableContents"/>
              <w:bidi w:val="0"/>
              <w:spacing w:before="0" w:after="283"/>
              <w:jc w:val="left"/>
              <w:rPr/>
            </w:pPr>
            <w:r>
              <w:rPr/>
              <w:t>Issuance of common stock in connection with At the Market Offering and Purchase Agreement, net of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6_eus-gaap--StockIssuedDuringPerio"/>
            <w:bookmarkEnd w:id="132"/>
          </w:p>
        </w:tc>
        <w:tc>
          <w:tcPr>
            <w:tcW w:w="1100" w:type="dxa"/>
            <w:tcBorders/>
            <w:shd w:fill="CCEEFF" w:val="clear"/>
            <w:vAlign w:val="center"/>
          </w:tcPr>
          <w:p>
            <w:pPr>
              <w:pStyle w:val="TableContents"/>
              <w:bidi w:val="0"/>
              <w:spacing w:before="0" w:after="283"/>
              <w:jc w:val="right"/>
              <w:rPr/>
            </w:pPr>
            <w:r>
              <w:rPr/>
              <w:t>1,038,969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4,182,295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4,182,399</w:t>
            </w:r>
          </w:p>
        </w:tc>
        <w:tc>
          <w:tcPr>
            <w:tcW w:w="110" w:type="dxa"/>
            <w:tcBorders/>
            <w:shd w:fill="CCEEFF" w:val="clear"/>
            <w:vAlign w:val="center"/>
          </w:tcPr>
          <w:p>
            <w:pPr>
              <w:pStyle w:val="TableContents"/>
              <w:bidi w:val="0"/>
              <w:spacing w:before="0" w:after="283"/>
              <w:jc w:val="left"/>
              <w:rPr/>
            </w:pPr>
            <w:r>
              <w:rPr/>
              <w:t> </w:t>
            </w:r>
            <w:bookmarkStart w:id="133" w:name="xdx_40E_eus-gaap--StockIssuedDuringPerio"/>
            <w:bookmarkEnd w:id="133"/>
          </w:p>
        </w:tc>
      </w:tr>
      <w:tr>
        <w:trPr/>
        <w:tc>
          <w:tcPr>
            <w:tcW w:w="1340" w:type="dxa"/>
            <w:tcBorders/>
            <w:shd w:fill="FFFFFF" w:val="clear"/>
            <w:vAlign w:val="center"/>
          </w:tcPr>
          <w:p>
            <w:pPr>
              <w:pStyle w:val="TableContents"/>
              <w:bidi w:val="0"/>
              <w:spacing w:before="0" w:after="283"/>
              <w:jc w:val="left"/>
              <w:rPr/>
            </w:pPr>
            <w:r>
              <w:rPr/>
              <w:t>Issuance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9_eus-gaap--StockIssuedDuringPerio"/>
            <w:bookmarkEnd w:id="134"/>
          </w:p>
        </w:tc>
        <w:tc>
          <w:tcPr>
            <w:tcW w:w="1100" w:type="dxa"/>
            <w:tcBorders/>
            <w:shd w:fill="FFFFFF" w:val="clear"/>
            <w:vAlign w:val="center"/>
          </w:tcPr>
          <w:p>
            <w:pPr>
              <w:pStyle w:val="TableContents"/>
              <w:bidi w:val="0"/>
              <w:spacing w:before="0" w:after="283"/>
              <w:jc w:val="right"/>
              <w:rPr/>
            </w:pPr>
            <w:r>
              <w:rPr/>
              <w:t>24,122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96,669</w:t>
            </w:r>
          </w:p>
        </w:tc>
        <w:tc>
          <w:tcPr>
            <w:tcW w:w="110" w:type="dxa"/>
            <w:tcBorders/>
            <w:shd w:fill="FFFFFF" w:val="clear"/>
            <w:vAlign w:val="center"/>
          </w:tcPr>
          <w:p>
            <w:pPr>
              <w:pStyle w:val="TableContents"/>
              <w:bidi w:val="0"/>
              <w:spacing w:before="0" w:after="283"/>
              <w:jc w:val="left"/>
              <w:rPr/>
            </w:pPr>
            <w:r>
              <w:rPr/>
              <w:t> </w:t>
            </w:r>
            <w:bookmarkStart w:id="135" w:name="xdx_40A_ecustom--StockIssuedDuringPeriod"/>
            <w:bookmarkEnd w:id="135"/>
          </w:p>
        </w:tc>
      </w:tr>
      <w:tr>
        <w:trPr/>
        <w:tc>
          <w:tcPr>
            <w:tcW w:w="134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194,526</w:t>
            </w:r>
          </w:p>
        </w:tc>
        <w:tc>
          <w:tcPr>
            <w:tcW w:w="110" w:type="dxa"/>
            <w:tcBorders/>
            <w:shd w:fill="CCEEFF" w:val="clear"/>
            <w:vAlign w:val="center"/>
          </w:tcPr>
          <w:p>
            <w:pPr>
              <w:pStyle w:val="TableContents"/>
              <w:bidi w:val="0"/>
              <w:spacing w:before="0" w:after="283"/>
              <w:jc w:val="left"/>
              <w:rPr/>
            </w:pPr>
            <w:r>
              <w:rPr/>
              <w:t> </w:t>
            </w:r>
            <w:bookmarkStart w:id="136" w:name="xdx_404_eus-gaap--AdjustmentsToAdditiona"/>
            <w:bookmarkEnd w:id="136"/>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90,721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90,721</w:t>
            </w:r>
          </w:p>
        </w:tc>
        <w:tc>
          <w:tcPr>
            <w:tcW w:w="110" w:type="dxa"/>
            <w:tcBorders/>
            <w:shd w:fill="FFFFFF" w:val="clear"/>
            <w:vAlign w:val="center"/>
          </w:tcPr>
          <w:p>
            <w:pPr>
              <w:pStyle w:val="TableContents"/>
              <w:bidi w:val="0"/>
              <w:spacing w:before="0" w:after="283"/>
              <w:jc w:val="left"/>
              <w:rPr/>
            </w:pPr>
            <w:r>
              <w:rPr/>
              <w:t> </w:t>
            </w:r>
            <w:bookmarkStart w:id="137" w:name="xdx_404_eus-gaap--NetIncomeLoss_zwNnoznS"/>
            <w:bookmarkEnd w:id="137"/>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(4,983,261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pPr>
            <w:r>
              <w:rPr/>
              <w:t>(4,983,261</w:t>
            </w:r>
          </w:p>
        </w:tc>
        <w:tc>
          <w:tcPr>
            <w:tcW w:w="110" w:type="dxa"/>
            <w:tcBorders/>
            <w:shd w:fill="CCEEFF" w:val="clear"/>
            <w:vAlign w:val="center"/>
          </w:tcPr>
          <w:p>
            <w:pPr>
              <w:pStyle w:val="TableContents"/>
              <w:bidi w:val="0"/>
              <w:spacing w:before="0" w:after="283"/>
              <w:jc w:val="left"/>
              <w:rPr/>
            </w:pPr>
            <w:r>
              <w:rPr/>
              <w:t>)</w:t>
            </w:r>
            <w:bookmarkStart w:id="138" w:name="xdx_430_c20250401__20250630_eus-gaap--St"/>
            <w:bookmarkEnd w:id="138"/>
          </w:p>
        </w:tc>
      </w:tr>
      <w:tr>
        <w:trPr/>
        <w:tc>
          <w:tcPr>
            <w:tcW w:w="134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9" w:name="xdx_987_eus-gaap--SharesOutstanding_iE_p"/>
            <w:bookmarkEnd w:id="13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4,889,290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0" w:name="xdx_98D_eus-gaap--SharesOutstanding_iE_p"/>
            <w:bookmarkEnd w:id="140"/>
          </w:p>
        </w:tc>
        <w:tc>
          <w:tcPr>
            <w:tcW w:w="6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124,272,445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(118,761,059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5,511,874</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 w:name="xdx_436_c20260101__20260331_eus-gaap--St"/>
            <w:bookmarkEnd w:id="141"/>
          </w:p>
        </w:tc>
      </w:tr>
      <w:tr>
        <w:trPr/>
        <w:tc>
          <w:tcPr>
            <w:tcW w:w="1340" w:type="dxa"/>
            <w:tcBorders/>
            <w:shd w:fill="FFFFFF" w:val="clear"/>
            <w:vAlign w:val="center"/>
          </w:tcPr>
          <w:p>
            <w:pPr>
              <w:pStyle w:val="TableContents"/>
              <w:bidi w:val="0"/>
              <w:spacing w:before="0" w:after="283"/>
              <w:jc w:val="left"/>
              <w:rPr>
                <w:b/>
              </w:rPr>
            </w:pPr>
            <w:r>
              <w:rPr>
                <w:b/>
              </w:rPr>
              <w:t>Balance January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F_eus-gaap--SharesOutstanding_iS_p"/>
            <w:bookmarkEnd w:id="142"/>
          </w:p>
        </w:tc>
        <w:tc>
          <w:tcPr>
            <w:tcW w:w="1100" w:type="dxa"/>
            <w:tcBorders/>
            <w:shd w:fill="FFFFFF" w:val="clear"/>
            <w:vAlign w:val="center"/>
          </w:tcPr>
          <w:p>
            <w:pPr>
              <w:pStyle w:val="TableContents"/>
              <w:bidi w:val="0"/>
              <w:spacing w:before="0" w:after="283"/>
              <w:jc w:val="right"/>
              <w:rPr>
                <w:b/>
              </w:rPr>
            </w:pPr>
            <w:r>
              <w:rPr>
                <w:b/>
              </w:rPr>
              <w:t>7,250,299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b/>
              </w:rPr>
            </w:pPr>
            <w:r>
              <w:rPr>
                <w:b/>
              </w:rPr>
              <w:t>$</w:t>
            </w:r>
          </w:p>
        </w:tc>
        <w:tc>
          <w:tcPr>
            <w:tcW w:w="688" w:type="dxa"/>
            <w:tcBorders/>
            <w:shd w:fill="FFFFFF" w:val="clear"/>
            <w:vAlign w:val="center"/>
          </w:tcPr>
          <w:p>
            <w:pPr>
              <w:pStyle w:val="TableContents"/>
              <w:bidi w:val="0"/>
              <w:spacing w:before="0" w:after="283"/>
              <w:jc w:val="right"/>
              <w:rPr>
                <w:b/>
              </w:rPr>
            </w:pPr>
            <w:r>
              <w:rPr>
                <w:b/>
              </w:rPr>
              <w:t>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bookmarkStart w:id="143" w:name="xdx_98F_eus-gaap--SharesOutstanding_iS_p"/>
            <w:bookmarkEnd w:id="143"/>
          </w:p>
        </w:tc>
        <w:tc>
          <w:tcPr>
            <w:tcW w:w="603" w:type="dxa"/>
            <w:tcBorders/>
            <w:shd w:fill="FFFFFF" w:val="clear"/>
            <w:vAlign w:val="center"/>
          </w:tcPr>
          <w:p>
            <w:pPr>
              <w:pStyle w:val="TableContents"/>
              <w:bidi w:val="0"/>
              <w:spacing w:before="0" w:after="283"/>
              <w:jc w:val="right"/>
              <w:rPr>
                <w:b/>
              </w:rPr>
            </w:pPr>
            <w:r>
              <w:rPr>
                <w:b/>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b/>
              </w:rPr>
            </w:pPr>
            <w:r>
              <w:rPr>
                <w:b/>
              </w:rPr>
              <w:t>$</w:t>
            </w:r>
          </w:p>
        </w:tc>
        <w:tc>
          <w:tcPr>
            <w:tcW w:w="354"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220" w:type="dxa"/>
            <w:tcBorders/>
            <w:shd w:fill="FFFFFF" w:val="clear"/>
            <w:vAlign w:val="center"/>
          </w:tcPr>
          <w:p>
            <w:pPr>
              <w:pStyle w:val="TableContents"/>
              <w:bidi w:val="0"/>
              <w:spacing w:before="0" w:after="283"/>
              <w:jc w:val="right"/>
              <w:rPr>
                <w:b/>
              </w:rPr>
            </w:pPr>
            <w:r>
              <w:rPr>
                <w:b/>
              </w:rPr>
              <w:t>134,883,213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295" w:type="dxa"/>
            <w:tcBorders/>
            <w:shd w:fill="FFFFFF" w:val="clear"/>
            <w:vAlign w:val="center"/>
          </w:tcPr>
          <w:p>
            <w:pPr>
              <w:pStyle w:val="TableContents"/>
              <w:bidi w:val="0"/>
              <w:spacing w:before="0" w:after="283"/>
              <w:jc w:val="right"/>
              <w:rPr>
                <w:b/>
              </w:rPr>
            </w:pPr>
            <w:r>
              <w:rPr>
                <w:b/>
              </w:rPr>
              <w:t>(132,375,031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b/>
              </w:rPr>
            </w:pPr>
            <w:r>
              <w:rPr>
                <w:b/>
              </w:rPr>
              <w:t>$</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1189" w:type="dxa"/>
            <w:tcBorders/>
            <w:shd w:fill="FFFFFF" w:val="clear"/>
            <w:vAlign w:val="center"/>
          </w:tcPr>
          <w:p>
            <w:pPr>
              <w:pStyle w:val="TableContents"/>
              <w:bidi w:val="0"/>
              <w:spacing w:before="0" w:after="283"/>
              <w:jc w:val="right"/>
              <w:rPr>
                <w:b/>
              </w:rPr>
            </w:pPr>
            <w:r>
              <w:rPr>
                <w:b/>
              </w:rPr>
              <w:t>2,508,907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Activity for the three months to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F_eus-gaap--StockIssuedDuringPerio"/>
            <w:bookmarkEnd w:id="144"/>
          </w:p>
        </w:tc>
      </w:tr>
      <w:tr>
        <w:trPr/>
        <w:tc>
          <w:tcPr>
            <w:tcW w:w="1340" w:type="dxa"/>
            <w:tcBorders/>
            <w:shd w:fill="FFFFFF" w:val="clear"/>
            <w:vAlign w:val="center"/>
          </w:tcPr>
          <w:p>
            <w:pPr>
              <w:pStyle w:val="TableContents"/>
              <w:bidi w:val="0"/>
              <w:spacing w:before="0" w:after="283"/>
              <w:jc w:val="left"/>
              <w:rPr/>
            </w:pPr>
            <w:r>
              <w:rPr/>
              <w:t>Issuance of common stock in connection with At the Market Offering and Purchase Agreement, net of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8_eus-gaap--StockIssuedDuringPerio"/>
            <w:bookmarkEnd w:id="145"/>
          </w:p>
        </w:tc>
        <w:tc>
          <w:tcPr>
            <w:tcW w:w="1100" w:type="dxa"/>
            <w:tcBorders/>
            <w:shd w:fill="FFFFFF" w:val="clear"/>
            <w:vAlign w:val="center"/>
          </w:tcPr>
          <w:p>
            <w:pPr>
              <w:pStyle w:val="TableContents"/>
              <w:bidi w:val="0"/>
              <w:spacing w:before="0" w:after="283"/>
              <w:jc w:val="right"/>
              <w:rPr/>
            </w:pPr>
            <w:r>
              <w:rPr/>
              <w:t>1,824,664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10,143,153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10,143,335</w:t>
            </w:r>
          </w:p>
        </w:tc>
        <w:tc>
          <w:tcPr>
            <w:tcW w:w="110" w:type="dxa"/>
            <w:tcBorders/>
            <w:shd w:fill="FFFFFF" w:val="clear"/>
            <w:vAlign w:val="center"/>
          </w:tcPr>
          <w:p>
            <w:pPr>
              <w:pStyle w:val="TableContents"/>
              <w:bidi w:val="0"/>
              <w:spacing w:before="0" w:after="283"/>
              <w:jc w:val="left"/>
              <w:rPr/>
            </w:pPr>
            <w:r>
              <w:rPr/>
              <w:t> </w:t>
            </w:r>
            <w:bookmarkStart w:id="146" w:name="xdx_400_eus-gaap--StockIssuedDuringPerio"/>
            <w:bookmarkEnd w:id="146"/>
          </w:p>
        </w:tc>
      </w:tr>
      <w:tr>
        <w:trPr/>
        <w:tc>
          <w:tcPr>
            <w:tcW w:w="1340" w:type="dxa"/>
            <w:tcBorders/>
            <w:shd w:fill="CCEEFF" w:val="clear"/>
            <w:vAlign w:val="center"/>
          </w:tcPr>
          <w:p>
            <w:pPr>
              <w:pStyle w:val="TableContents"/>
              <w:bidi w:val="0"/>
              <w:spacing w:before="0" w:after="283"/>
              <w:jc w:val="left"/>
              <w:rPr/>
            </w:pPr>
            <w:r>
              <w:rPr/>
              <w:t>Issuance of common stock relating to Streeterville Promissory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A_eus-gaap--StockIssuedDuringPerio"/>
            <w:bookmarkEnd w:id="147"/>
          </w:p>
        </w:tc>
        <w:tc>
          <w:tcPr>
            <w:tcW w:w="1100" w:type="dxa"/>
            <w:tcBorders/>
            <w:shd w:fill="CCEEFF" w:val="clear"/>
            <w:vAlign w:val="center"/>
          </w:tcPr>
          <w:p>
            <w:pPr>
              <w:pStyle w:val="TableContents"/>
              <w:bidi w:val="0"/>
              <w:spacing w:before="0" w:after="283"/>
              <w:jc w:val="right"/>
              <w:rPr/>
            </w:pPr>
            <w:r>
              <w:rPr/>
              <w:t>460,122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2,308,901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2,308,947</w:t>
            </w:r>
          </w:p>
        </w:tc>
        <w:tc>
          <w:tcPr>
            <w:tcW w:w="110" w:type="dxa"/>
            <w:tcBorders/>
            <w:shd w:fill="CCEEFF" w:val="clear"/>
            <w:vAlign w:val="center"/>
          </w:tcPr>
          <w:p>
            <w:pPr>
              <w:pStyle w:val="TableContents"/>
              <w:bidi w:val="0"/>
              <w:spacing w:before="0" w:after="283"/>
              <w:jc w:val="left"/>
              <w:rPr/>
            </w:pPr>
            <w:r>
              <w:rPr/>
              <w:t> </w:t>
            </w:r>
            <w:bookmarkStart w:id="148" w:name="xdx_40F_ecustom--StockIssuedDuringPeriod"/>
            <w:bookmarkEnd w:id="148"/>
          </w:p>
        </w:tc>
      </w:tr>
      <w:tr>
        <w:trPr/>
        <w:tc>
          <w:tcPr>
            <w:tcW w:w="1340" w:type="dxa"/>
            <w:tcBorders/>
            <w:shd w:fill="FFFFFF" w:val="clear"/>
            <w:vAlign w:val="center"/>
          </w:tcPr>
          <w:p>
            <w:pPr>
              <w:pStyle w:val="TableContents"/>
              <w:bidi w:val="0"/>
              <w:spacing w:before="0" w:after="283"/>
              <w:jc w:val="left"/>
              <w:rPr/>
            </w:pPr>
            <w:r>
              <w:rPr/>
              <w:t>Issuance of common stock in connection with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9" w:name="xdx_98C_ecustom--StockIssuedDuringPeriod"/>
            <w:bookmarkEnd w:id="149"/>
          </w:p>
        </w:tc>
        <w:tc>
          <w:tcPr>
            <w:tcW w:w="1100" w:type="dxa"/>
            <w:tcBorders/>
            <w:shd w:fill="FFFFFF" w:val="clear"/>
            <w:vAlign w:val="center"/>
          </w:tcPr>
          <w:p>
            <w:pPr>
              <w:pStyle w:val="TableContents"/>
              <w:bidi w:val="0"/>
              <w:spacing w:before="0" w:after="283"/>
              <w:jc w:val="right"/>
              <w:rPr/>
            </w:pPr>
            <w:r>
              <w:rPr/>
              <w:t>2,147,472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10,816,421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10,816,636</w:t>
            </w:r>
          </w:p>
        </w:tc>
        <w:tc>
          <w:tcPr>
            <w:tcW w:w="110" w:type="dxa"/>
            <w:tcBorders/>
            <w:shd w:fill="FFFFFF" w:val="clear"/>
            <w:vAlign w:val="center"/>
          </w:tcPr>
          <w:p>
            <w:pPr>
              <w:pStyle w:val="TableContents"/>
              <w:bidi w:val="0"/>
              <w:spacing w:before="0" w:after="283"/>
              <w:jc w:val="left"/>
              <w:rPr/>
            </w:pPr>
            <w:r>
              <w:rPr/>
              <w:t> </w:t>
            </w:r>
            <w:bookmarkStart w:id="150" w:name="xdx_404_ecustom--StockIssuedDuringPeriod"/>
            <w:bookmarkEnd w:id="150"/>
          </w:p>
        </w:tc>
      </w:tr>
      <w:tr>
        <w:trPr/>
        <w:tc>
          <w:tcPr>
            <w:tcW w:w="1340" w:type="dxa"/>
            <w:tcBorders/>
            <w:shd w:fill="CCEEFF" w:val="clear"/>
            <w:vAlign w:val="center"/>
          </w:tcPr>
          <w:p>
            <w:pPr>
              <w:pStyle w:val="TableContents"/>
              <w:bidi w:val="0"/>
              <w:spacing w:before="0" w:after="283"/>
              <w:jc w:val="left"/>
              <w:rPr/>
            </w:pPr>
            <w:r>
              <w:rPr/>
              <w:t>Issuance of preferred stock in connection with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bookmarkStart w:id="151" w:name="xdx_982_ecustom--StockIssuedDuringPeriod"/>
            <w:bookmarkEnd w:id="151"/>
          </w:p>
        </w:tc>
        <w:tc>
          <w:tcPr>
            <w:tcW w:w="603" w:type="dxa"/>
            <w:tcBorders/>
            <w:shd w:fill="CCEEFF" w:val="clear"/>
            <w:vAlign w:val="center"/>
          </w:tcPr>
          <w:p>
            <w:pPr>
              <w:pStyle w:val="TableContents"/>
              <w:bidi w:val="0"/>
              <w:spacing w:before="0" w:after="283"/>
              <w:jc w:val="right"/>
              <w:rPr/>
            </w:pPr>
            <w:r>
              <w:rPr/>
              <w:t>954</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954,000</w:t>
            </w:r>
          </w:p>
        </w:tc>
        <w:tc>
          <w:tcPr>
            <w:tcW w:w="110" w:type="dxa"/>
            <w:tcBorders/>
            <w:shd w:fill="CCEEFF" w:val="clear"/>
            <w:vAlign w:val="center"/>
          </w:tcPr>
          <w:p>
            <w:pPr>
              <w:pStyle w:val="TableContents"/>
              <w:bidi w:val="0"/>
              <w:spacing w:before="0" w:after="283"/>
              <w:jc w:val="left"/>
              <w:rPr/>
            </w:pPr>
            <w:r>
              <w:rPr/>
              <w:t> </w:t>
            </w:r>
            <w:bookmarkStart w:id="152" w:name="xdx_40E_eus-gaap--StockIssuedDuringPerio"/>
            <w:bookmarkEnd w:id="152"/>
          </w:p>
        </w:tc>
      </w:tr>
      <w:tr>
        <w:trPr/>
        <w:tc>
          <w:tcPr>
            <w:tcW w:w="1340" w:type="dxa"/>
            <w:tcBorders/>
            <w:shd w:fill="FFFFFF" w:val="clear"/>
            <w:vAlign w:val="center"/>
          </w:tcPr>
          <w:p>
            <w:pPr>
              <w:pStyle w:val="TableContents"/>
              <w:bidi w:val="0"/>
              <w:spacing w:before="0" w:after="283"/>
              <w:jc w:val="left"/>
              <w:rPr/>
            </w:pPr>
            <w:r>
              <w:rPr/>
              <w:t>Preferred stock to common stock conversion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A_eus-gaap--StockIssuedDuringPerio"/>
            <w:bookmarkEnd w:id="153"/>
          </w:p>
        </w:tc>
        <w:tc>
          <w:tcPr>
            <w:tcW w:w="1100" w:type="dxa"/>
            <w:tcBorders/>
            <w:shd w:fill="FFFFFF" w:val="clear"/>
            <w:vAlign w:val="center"/>
          </w:tcPr>
          <w:p>
            <w:pPr>
              <w:pStyle w:val="TableContents"/>
              <w:bidi w:val="0"/>
              <w:spacing w:before="0" w:after="283"/>
              <w:jc w:val="right"/>
              <w:rPr/>
            </w:pPr>
            <w:r>
              <w:rPr/>
              <w:t>189,300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bookmarkStart w:id="154" w:name="xdx_985_eus-gaap--StockIssuedDuringPerio"/>
            <w:bookmarkEnd w:id="154"/>
          </w:p>
        </w:tc>
        <w:tc>
          <w:tcPr>
            <w:tcW w:w="603" w:type="dxa"/>
            <w:tcBorders/>
            <w:shd w:fill="FFFFFF" w:val="clear"/>
            <w:vAlign w:val="center"/>
          </w:tcPr>
          <w:p>
            <w:pPr>
              <w:pStyle w:val="TableContents"/>
              <w:bidi w:val="0"/>
              <w:spacing w:before="0" w:after="283"/>
              <w:jc w:val="right"/>
              <w:rPr/>
            </w:pPr>
            <w:r>
              <w:rPr/>
              <w:t>(954</w:t>
            </w:r>
          </w:p>
        </w:tc>
        <w:tc>
          <w:tcPr>
            <w:tcW w:w="10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5" w:name="xdx_405_ecustom--StockIssuedDuringPeriod"/>
            <w:bookmarkEnd w:id="155"/>
          </w:p>
        </w:tc>
      </w:tr>
      <w:tr>
        <w:trPr/>
        <w:tc>
          <w:tcPr>
            <w:tcW w:w="134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0_ecustom--StockIssuedDuringPeriod"/>
            <w:bookmarkEnd w:id="156"/>
          </w:p>
        </w:tc>
        <w:tc>
          <w:tcPr>
            <w:tcW w:w="1100" w:type="dxa"/>
            <w:tcBorders/>
            <w:shd w:fill="CCEEFF" w:val="clear"/>
            <w:vAlign w:val="center"/>
          </w:tcPr>
          <w:p>
            <w:pPr>
              <w:pStyle w:val="TableContents"/>
              <w:bidi w:val="0"/>
              <w:spacing w:before="0" w:after="283"/>
              <w:jc w:val="right"/>
              <w:rPr/>
            </w:pPr>
            <w:r>
              <w:rPr/>
              <w:t>2,524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7" w:name="xdx_40A_ecustom--StockIssuedDuringPeriod"/>
            <w:bookmarkEnd w:id="157"/>
          </w:p>
        </w:tc>
      </w:tr>
      <w:tr>
        <w:trPr/>
        <w:tc>
          <w:tcPr>
            <w:tcW w:w="1340"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852,030</w:t>
            </w:r>
          </w:p>
        </w:tc>
        <w:tc>
          <w:tcPr>
            <w:tcW w:w="110" w:type="dxa"/>
            <w:tcBorders/>
            <w:shd w:fill="FFFFFF" w:val="clear"/>
            <w:vAlign w:val="center"/>
          </w:tcPr>
          <w:p>
            <w:pPr>
              <w:pStyle w:val="TableContents"/>
              <w:bidi w:val="0"/>
              <w:spacing w:before="0" w:after="283"/>
              <w:jc w:val="left"/>
              <w:rPr/>
            </w:pPr>
            <w:r>
              <w:rPr/>
              <w:t> </w:t>
            </w:r>
            <w:bookmarkStart w:id="158" w:name="xdx_40C_eus-gaap--StockIssuedDuringPerio"/>
            <w:bookmarkEnd w:id="158"/>
          </w:p>
        </w:tc>
      </w:tr>
      <w:tr>
        <w:trPr/>
        <w:tc>
          <w:tcPr>
            <w:tcW w:w="1340" w:type="dxa"/>
            <w:tcBorders/>
            <w:shd w:fill="CCEEFF" w:val="clear"/>
            <w:vAlign w:val="center"/>
          </w:tcPr>
          <w:p>
            <w:pPr>
              <w:pStyle w:val="TableContents"/>
              <w:bidi w:val="0"/>
              <w:spacing w:before="0" w:after="283"/>
              <w:jc w:val="left"/>
              <w:rPr/>
            </w:pPr>
            <w:r>
              <w:rPr/>
              <w:t>Stock-based compensation expense, net of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9_eus-gaap--StockIssuedDuringPerio"/>
            <w:bookmarkEnd w:id="159"/>
          </w:p>
        </w:tc>
        <w:tc>
          <w:tcPr>
            <w:tcW w:w="1100" w:type="dxa"/>
            <w:tcBorders/>
            <w:shd w:fill="CCEEFF" w:val="clear"/>
            <w:vAlign w:val="center"/>
          </w:tcPr>
          <w:p>
            <w:pPr>
              <w:pStyle w:val="TableContents"/>
              <w:bidi w:val="0"/>
              <w:spacing w:before="0" w:after="283"/>
              <w:jc w:val="right"/>
              <w:rPr/>
            </w:pPr>
            <w:r>
              <w:rPr/>
              <w:t>33,935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593,097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593,100</w:t>
            </w:r>
          </w:p>
        </w:tc>
        <w:tc>
          <w:tcPr>
            <w:tcW w:w="110" w:type="dxa"/>
            <w:tcBorders/>
            <w:shd w:fill="CCEEFF" w:val="clear"/>
            <w:vAlign w:val="center"/>
          </w:tcPr>
          <w:p>
            <w:pPr>
              <w:pStyle w:val="TableContents"/>
              <w:bidi w:val="0"/>
              <w:spacing w:before="0" w:after="283"/>
              <w:jc w:val="left"/>
              <w:rPr/>
            </w:pPr>
            <w:r>
              <w:rPr/>
              <w:t> </w:t>
            </w:r>
            <w:bookmarkStart w:id="160" w:name="xdx_404_eus-gaap--NetIncomeLoss_zPf4wfM1"/>
            <w:bookmarkEnd w:id="16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(9,312,089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(9,312,089</w:t>
            </w:r>
          </w:p>
        </w:tc>
        <w:tc>
          <w:tcPr>
            <w:tcW w:w="110" w:type="dxa"/>
            <w:tcBorders/>
            <w:shd w:fill="FFFFFF" w:val="clear"/>
            <w:vAlign w:val="center"/>
          </w:tcPr>
          <w:p>
            <w:pPr>
              <w:pStyle w:val="TableContents"/>
              <w:bidi w:val="0"/>
              <w:spacing w:before="0" w:after="283"/>
              <w:jc w:val="left"/>
              <w:rPr/>
            </w:pPr>
            <w:r>
              <w:rPr/>
              <w:t>)</w:t>
            </w:r>
            <w:bookmarkStart w:id="161" w:name="xdx_436_c20260401__20260630_eus-gaap--St"/>
            <w:bookmarkEnd w:id="161"/>
          </w:p>
        </w:tc>
      </w:tr>
      <w:tr>
        <w:trPr/>
        <w:tc>
          <w:tcPr>
            <w:tcW w:w="134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2" w:name="xdx_981_eus-gaap--SharesOutstanding_iS_p"/>
            <w:bookmarkEnd w:id="16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11,908,316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 w:name="xdx_98A_eus-gaap--SharesOutstanding_iS_p"/>
            <w:bookmarkEnd w:id="163"/>
          </w:p>
        </w:tc>
        <w:tc>
          <w:tcPr>
            <w:tcW w:w="6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160,550,796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(141,687,120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18,864,866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Activity for the three months to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4" w:name="xdx_409_eus-gaap--StockIssuedDuringPerio"/>
            <w:bookmarkEnd w:id="164"/>
          </w:p>
        </w:tc>
      </w:tr>
      <w:tr>
        <w:trPr/>
        <w:tc>
          <w:tcPr>
            <w:tcW w:w="1340" w:type="dxa"/>
            <w:tcBorders/>
            <w:shd w:fill="CCEEFF" w:val="clear"/>
            <w:vAlign w:val="center"/>
          </w:tcPr>
          <w:p>
            <w:pPr>
              <w:pStyle w:val="TableContents"/>
              <w:bidi w:val="0"/>
              <w:spacing w:before="0" w:after="283"/>
              <w:jc w:val="left"/>
              <w:rPr/>
            </w:pPr>
            <w:r>
              <w:rPr/>
              <w:t>Issuance of common stock in connection with At the Market Offering and Purchase Agreement, net of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0_eus-gaap--StockIssuedDuringPerio"/>
            <w:bookmarkEnd w:id="165"/>
          </w:p>
        </w:tc>
        <w:tc>
          <w:tcPr>
            <w:tcW w:w="1100" w:type="dxa"/>
            <w:tcBorders/>
            <w:shd w:fill="CCEEFF" w:val="clear"/>
            <w:vAlign w:val="center"/>
          </w:tcPr>
          <w:p>
            <w:pPr>
              <w:pStyle w:val="TableContents"/>
              <w:bidi w:val="0"/>
              <w:spacing w:before="0" w:after="283"/>
              <w:jc w:val="right"/>
              <w:rPr/>
            </w:pPr>
            <w:r>
              <w:rPr/>
              <w:t>1,839,265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9,136,009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9,136,193</w:t>
            </w:r>
          </w:p>
        </w:tc>
        <w:tc>
          <w:tcPr>
            <w:tcW w:w="110" w:type="dxa"/>
            <w:tcBorders/>
            <w:shd w:fill="CCEEFF" w:val="clear"/>
            <w:vAlign w:val="center"/>
          </w:tcPr>
          <w:p>
            <w:pPr>
              <w:pStyle w:val="TableContents"/>
              <w:bidi w:val="0"/>
              <w:spacing w:before="0" w:after="283"/>
              <w:jc w:val="left"/>
              <w:rPr/>
            </w:pPr>
            <w:r>
              <w:rPr/>
              <w:t> </w:t>
            </w:r>
            <w:bookmarkStart w:id="166" w:name="xdx_405_ecustom--StockIssuedDuringPeriod"/>
            <w:bookmarkEnd w:id="166"/>
          </w:p>
        </w:tc>
      </w:tr>
      <w:tr>
        <w:trPr/>
        <w:tc>
          <w:tcPr>
            <w:tcW w:w="1340" w:type="dxa"/>
            <w:tcBorders/>
            <w:shd w:fill="FFFFFF" w:val="clear"/>
            <w:vAlign w:val="center"/>
          </w:tcPr>
          <w:p>
            <w:pPr>
              <w:pStyle w:val="TableContents"/>
              <w:bidi w:val="0"/>
              <w:spacing w:before="0" w:after="283"/>
              <w:jc w:val="left"/>
              <w:rPr/>
            </w:pPr>
            <w:r>
              <w:rPr/>
              <w:t>Issuance of common stock relating to Avondale Promissory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6_ecustom--StockIssuedDuringPeriod"/>
            <w:bookmarkEnd w:id="167"/>
          </w:p>
        </w:tc>
        <w:tc>
          <w:tcPr>
            <w:tcW w:w="1100" w:type="dxa"/>
            <w:tcBorders/>
            <w:shd w:fill="FFFFFF" w:val="clear"/>
            <w:vAlign w:val="center"/>
          </w:tcPr>
          <w:p>
            <w:pPr>
              <w:pStyle w:val="TableContents"/>
              <w:bidi w:val="0"/>
              <w:spacing w:before="0" w:after="283"/>
              <w:jc w:val="right"/>
              <w:rPr/>
            </w:pPr>
            <w:r>
              <w:rPr/>
              <w:t>147,301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660,000</w:t>
            </w:r>
          </w:p>
        </w:tc>
        <w:tc>
          <w:tcPr>
            <w:tcW w:w="110" w:type="dxa"/>
            <w:tcBorders/>
            <w:shd w:fill="FFFFFF" w:val="clear"/>
            <w:vAlign w:val="center"/>
          </w:tcPr>
          <w:p>
            <w:pPr>
              <w:pStyle w:val="TableContents"/>
              <w:bidi w:val="0"/>
              <w:spacing w:before="0" w:after="283"/>
              <w:jc w:val="left"/>
              <w:rPr/>
            </w:pPr>
            <w:r>
              <w:rPr/>
              <w:t> </w:t>
            </w:r>
            <w:bookmarkStart w:id="168" w:name="xdx_40A_ecustom--StockIssuedDuringPeriod"/>
            <w:bookmarkEnd w:id="168"/>
          </w:p>
        </w:tc>
      </w:tr>
      <w:tr>
        <w:trPr/>
        <w:tc>
          <w:tcPr>
            <w:tcW w:w="134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314,013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314,013</w:t>
            </w:r>
          </w:p>
        </w:tc>
        <w:tc>
          <w:tcPr>
            <w:tcW w:w="110" w:type="dxa"/>
            <w:tcBorders/>
            <w:shd w:fill="CCEEFF" w:val="clear"/>
            <w:vAlign w:val="center"/>
          </w:tcPr>
          <w:p>
            <w:pPr>
              <w:pStyle w:val="TableContents"/>
              <w:bidi w:val="0"/>
              <w:spacing w:before="0" w:after="283"/>
              <w:jc w:val="left"/>
              <w:rPr/>
            </w:pPr>
            <w:r>
              <w:rPr/>
              <w:t> </w:t>
            </w:r>
            <w:bookmarkStart w:id="169" w:name="xdx_40C_eus-gaap--StockIssuedDuringPerio"/>
            <w:bookmarkEnd w:id="169"/>
          </w:p>
        </w:tc>
      </w:tr>
      <w:tr>
        <w:trPr/>
        <w:tc>
          <w:tcPr>
            <w:tcW w:w="1340" w:type="dxa"/>
            <w:tcBorders/>
            <w:shd w:fill="FFFFFF" w:val="clear"/>
            <w:vAlign w:val="center"/>
          </w:tcPr>
          <w:p>
            <w:pPr>
              <w:pStyle w:val="TableContents"/>
              <w:bidi w:val="0"/>
              <w:spacing w:before="0" w:after="283"/>
              <w:jc w:val="left"/>
              <w:rPr/>
            </w:pPr>
            <w:r>
              <w:rPr/>
              <w:t>Stock-based compensation expense, net of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362,227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362,227</w:t>
            </w:r>
          </w:p>
        </w:tc>
        <w:tc>
          <w:tcPr>
            <w:tcW w:w="110" w:type="dxa"/>
            <w:tcBorders/>
            <w:shd w:fill="FFFFFF" w:val="clear"/>
            <w:vAlign w:val="center"/>
          </w:tcPr>
          <w:p>
            <w:pPr>
              <w:pStyle w:val="TableContents"/>
              <w:bidi w:val="0"/>
              <w:spacing w:before="0" w:after="283"/>
              <w:jc w:val="left"/>
              <w:rPr/>
            </w:pPr>
            <w:r>
              <w:rPr/>
              <w:t> </w:t>
            </w:r>
            <w:bookmarkStart w:id="170" w:name="xdx_404_eus-gaap--NetIncomeLoss_zkTOpH39"/>
            <w:bookmarkEnd w:id="170"/>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(5,870,264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pPr>
            <w:r>
              <w:rPr/>
              <w:t>(5,870,264</w:t>
            </w:r>
          </w:p>
        </w:tc>
        <w:tc>
          <w:tcPr>
            <w:tcW w:w="110" w:type="dxa"/>
            <w:tcBorders/>
            <w:shd w:fill="CCEEFF" w:val="clear"/>
            <w:vAlign w:val="center"/>
          </w:tcPr>
          <w:p>
            <w:pPr>
              <w:pStyle w:val="TableContents"/>
              <w:bidi w:val="0"/>
              <w:spacing w:before="0" w:after="283"/>
              <w:jc w:val="left"/>
              <w:rPr/>
            </w:pPr>
            <w:r>
              <w:rPr/>
              <w:t>)</w:t>
            </w:r>
            <w:bookmarkStart w:id="171" w:name="xdx_439_c20260401__20260630_eus-gaap--St"/>
            <w:bookmarkEnd w:id="171"/>
          </w:p>
        </w:tc>
      </w:tr>
      <w:tr>
        <w:trPr/>
        <w:tc>
          <w:tcPr>
            <w:tcW w:w="1340" w:type="dxa"/>
            <w:tcBorders/>
            <w:shd w:fill="FFFFFF" w:val="clear"/>
            <w:vAlign w:val="center"/>
          </w:tcPr>
          <w:p>
            <w:pPr>
              <w:pStyle w:val="TableContents"/>
              <w:bidi w:val="0"/>
              <w:spacing w:before="0" w:after="283"/>
              <w:jc w:val="left"/>
              <w:rPr>
                <w:b/>
              </w:rPr>
            </w:pPr>
            <w:r>
              <w:rPr>
                <w:b/>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2" w:name="xdx_980_eus-gaap--SharesOutstanding_iE_p"/>
            <w:bookmarkEnd w:id="17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13,894,882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 w:name="xdx_987_eus-gaap--SharesOutstanding_iE_p"/>
            <w:bookmarkEnd w:id="173"/>
          </w:p>
        </w:tc>
        <w:tc>
          <w:tcPr>
            <w:tcW w:w="6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171,023,030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(147,557,384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23,467,035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4" w:name="xdx_30E_112_zxMk2R2f7PMg"/>
      <w:bookmarkStart w:id="175" w:name="xdx_30E_112_zxMk2R2f7PMg"/>
      <w:bookmarkEnd w:id="175"/>
    </w:p>
    <w:tbl>
      <w:tblPr>
        <w:tblW w:w="10205" w:type="dxa"/>
        <w:jc w:val="left"/>
        <w:tblInd w:w="0" w:type="dxa"/>
        <w:tblLayout w:type="fixed"/>
        <w:tblCellMar>
          <w:top w:w="0" w:type="dxa"/>
          <w:left w:w="0" w:type="dxa"/>
          <w:bottom w:w="0" w:type="dxa"/>
          <w:right w:w="0" w:type="dxa"/>
        </w:tblCellMar>
      </w:tblPr>
      <w:tblGrid>
        <w:gridCol w:w="7240"/>
        <w:gridCol w:w="60"/>
        <w:gridCol w:w="143"/>
        <w:gridCol w:w="1212"/>
        <w:gridCol w:w="98"/>
        <w:gridCol w:w="61"/>
        <w:gridCol w:w="143"/>
        <w:gridCol w:w="1135"/>
        <w:gridCol w:w="113"/>
      </w:tblGrid>
      <w:tr>
        <w:trPr/>
        <w:tc>
          <w:tcPr>
            <w:tcW w:w="7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6" w:name="xdx_490_20260101__20260630_zE5y55vkJuKc"/>
            <w:bookmarkEnd w:id="176"/>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77" w:name="xdx_497_20250101__20250630_zt9liq8yf0hd"/>
            <w:bookmarkEnd w:id="177"/>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3" w:type="dxa"/>
            <w:tcBorders/>
            <w:vAlign w:val="center"/>
          </w:tcPr>
          <w:p>
            <w:pPr>
              <w:pStyle w:val="TableContents"/>
              <w:bidi w:val="0"/>
              <w:spacing w:before="0" w:after="283"/>
              <w:jc w:val="left"/>
              <w:rPr/>
            </w:pPr>
            <w:r>
              <w:rPr/>
              <w:t> </w:t>
            </w:r>
          </w:p>
        </w:tc>
      </w:tr>
      <w:tr>
        <w:trPr/>
        <w:tc>
          <w:tcPr>
            <w:tcW w:w="7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bookmarkStart w:id="178" w:name="xdx_403_eus-gaap--NetCashProvidedByUsedI"/>
            <w:bookmarkEnd w:id="178"/>
          </w:p>
        </w:tc>
      </w:tr>
      <w:tr>
        <w:trPr/>
        <w:tc>
          <w:tcPr>
            <w:tcW w:w="724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9" w:name="xdx_404_eus-gaap--NetIncomeLoss_i01_maNC"/>
            <w:bookmarkEnd w:id="179"/>
          </w:p>
        </w:tc>
      </w:tr>
      <w:tr>
        <w:trPr/>
        <w:tc>
          <w:tcPr>
            <w:tcW w:w="72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12" w:type="dxa"/>
            <w:tcBorders/>
            <w:shd w:fill="FFFFFF" w:val="clear"/>
            <w:vAlign w:val="center"/>
          </w:tcPr>
          <w:p>
            <w:pPr>
              <w:pStyle w:val="TableContents"/>
              <w:bidi w:val="0"/>
              <w:spacing w:before="0" w:after="283"/>
              <w:jc w:val="right"/>
              <w:rPr/>
            </w:pPr>
            <w:r>
              <w:rPr/>
              <w:t>(15,182,353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(8,835,939</w:t>
            </w:r>
          </w:p>
        </w:tc>
        <w:tc>
          <w:tcPr>
            <w:tcW w:w="113" w:type="dxa"/>
            <w:tcBorders/>
            <w:shd w:fill="FFFFFF" w:val="clear"/>
            <w:vAlign w:val="center"/>
          </w:tcPr>
          <w:p>
            <w:pPr>
              <w:pStyle w:val="TableContents"/>
              <w:bidi w:val="0"/>
              <w:spacing w:before="0" w:after="283"/>
              <w:jc w:val="left"/>
              <w:rPr/>
            </w:pPr>
            <w:r>
              <w:rPr/>
              <w:t>)</w:t>
            </w:r>
            <w:bookmarkStart w:id="180" w:name="xdx_40F_eus-gaap--AdjustmentsToReconcile"/>
            <w:bookmarkEnd w:id="180"/>
          </w:p>
        </w:tc>
      </w:tr>
      <w:tr>
        <w:trPr/>
        <w:tc>
          <w:tcPr>
            <w:tcW w:w="724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1" w:name="xdx_407_eus-gaap--Depreciation_i02_maNCP"/>
            <w:bookmarkEnd w:id="181"/>
          </w:p>
        </w:tc>
      </w:tr>
      <w:tr>
        <w:trPr/>
        <w:tc>
          <w:tcPr>
            <w:tcW w:w="724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219,428</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312,280</w:t>
            </w:r>
          </w:p>
        </w:tc>
        <w:tc>
          <w:tcPr>
            <w:tcW w:w="113" w:type="dxa"/>
            <w:tcBorders/>
            <w:shd w:fill="FFFFFF" w:val="clear"/>
            <w:vAlign w:val="center"/>
          </w:tcPr>
          <w:p>
            <w:pPr>
              <w:pStyle w:val="TableContents"/>
              <w:bidi w:val="0"/>
              <w:spacing w:before="0" w:after="283"/>
              <w:jc w:val="left"/>
              <w:rPr/>
            </w:pPr>
            <w:r>
              <w:rPr/>
              <w:t> </w:t>
            </w:r>
            <w:bookmarkStart w:id="182" w:name="xdx_403_eus-gaap--ShareBasedCompensation"/>
            <w:bookmarkEnd w:id="182"/>
          </w:p>
        </w:tc>
      </w:tr>
      <w:tr>
        <w:trPr/>
        <w:tc>
          <w:tcPr>
            <w:tcW w:w="72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955,327</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545,039</w:t>
            </w:r>
          </w:p>
        </w:tc>
        <w:tc>
          <w:tcPr>
            <w:tcW w:w="113" w:type="dxa"/>
            <w:tcBorders/>
            <w:shd w:fill="CCEEFF" w:val="clear"/>
            <w:vAlign w:val="center"/>
          </w:tcPr>
          <w:p>
            <w:pPr>
              <w:pStyle w:val="TableContents"/>
              <w:bidi w:val="0"/>
              <w:spacing w:before="0" w:after="283"/>
              <w:jc w:val="left"/>
              <w:rPr/>
            </w:pPr>
            <w:r>
              <w:rPr/>
              <w:t> </w:t>
            </w:r>
            <w:bookmarkStart w:id="183" w:name="xdx_404_ecustom--AccretionOfDiscountOnNo"/>
            <w:bookmarkEnd w:id="183"/>
          </w:p>
        </w:tc>
      </w:tr>
      <w:tr>
        <w:trPr/>
        <w:tc>
          <w:tcPr>
            <w:tcW w:w="7240" w:type="dxa"/>
            <w:tcBorders/>
            <w:shd w:fill="FFFFFF" w:val="clear"/>
            <w:vAlign w:val="center"/>
          </w:tcPr>
          <w:p>
            <w:pPr>
              <w:pStyle w:val="TableContents"/>
              <w:bidi w:val="0"/>
              <w:spacing w:before="0" w:after="283"/>
              <w:jc w:val="left"/>
              <w:rPr/>
            </w:pPr>
            <w:r>
              <w:rPr/>
              <w:t>Accretion of discount on note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239,670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15,353</w:t>
            </w:r>
          </w:p>
        </w:tc>
        <w:tc>
          <w:tcPr>
            <w:tcW w:w="113" w:type="dxa"/>
            <w:tcBorders/>
            <w:shd w:fill="FFFFFF" w:val="clear"/>
            <w:vAlign w:val="center"/>
          </w:tcPr>
          <w:p>
            <w:pPr>
              <w:pStyle w:val="TableContents"/>
              <w:bidi w:val="0"/>
              <w:spacing w:before="0" w:after="283"/>
              <w:jc w:val="left"/>
              <w:rPr/>
            </w:pPr>
            <w:r>
              <w:rPr/>
              <w:t> </w:t>
            </w:r>
            <w:bookmarkStart w:id="184" w:name="xdx_402_eus-gaap--AmortizationOfFinancin"/>
            <w:bookmarkEnd w:id="184"/>
          </w:p>
        </w:tc>
      </w:tr>
      <w:tr>
        <w:trPr/>
        <w:tc>
          <w:tcPr>
            <w:tcW w:w="7240" w:type="dxa"/>
            <w:tcBorders/>
            <w:shd w:fill="CCEEFF" w:val="clear"/>
            <w:vAlign w:val="center"/>
          </w:tcPr>
          <w:p>
            <w:pPr>
              <w:pStyle w:val="TableContents"/>
              <w:bidi w:val="0"/>
              <w:spacing w:before="0" w:after="283"/>
              <w:jc w:val="left"/>
              <w:rPr/>
            </w:pPr>
            <w:r>
              <w:rPr/>
              <w:t>Amortization of debt issue costs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5,562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155,135</w:t>
            </w:r>
          </w:p>
        </w:tc>
        <w:tc>
          <w:tcPr>
            <w:tcW w:w="113" w:type="dxa"/>
            <w:tcBorders/>
            <w:shd w:fill="CCEEFF" w:val="clear"/>
            <w:vAlign w:val="center"/>
          </w:tcPr>
          <w:p>
            <w:pPr>
              <w:pStyle w:val="TableContents"/>
              <w:bidi w:val="0"/>
              <w:spacing w:before="0" w:after="283"/>
              <w:jc w:val="left"/>
              <w:rPr/>
            </w:pPr>
            <w:r>
              <w:rPr/>
              <w:t> </w:t>
            </w:r>
            <w:bookmarkStart w:id="185" w:name="xdx_406_eus-gaap--GainsLossesOnExtinguis"/>
            <w:bookmarkEnd w:id="185"/>
          </w:p>
        </w:tc>
      </w:tr>
      <w:tr>
        <w:trPr/>
        <w:tc>
          <w:tcPr>
            <w:tcW w:w="7240" w:type="dxa"/>
            <w:tcBorders/>
            <w:shd w:fill="FFFFFF" w:val="clear"/>
            <w:vAlign w:val="center"/>
          </w:tcPr>
          <w:p>
            <w:pPr>
              <w:pStyle w:val="TableContents"/>
              <w:bidi w:val="0"/>
              <w:spacing w:before="0" w:after="283"/>
              <w:jc w:val="left"/>
              <w:rPr/>
            </w:pPr>
            <w:r>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488,900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6" w:name="xdx_406_ecustom--ChangeInFairValueOfDeri"/>
            <w:bookmarkEnd w:id="186"/>
          </w:p>
        </w:tc>
      </w:tr>
      <w:tr>
        <w:trPr/>
        <w:tc>
          <w:tcPr>
            <w:tcW w:w="724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1,166,043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244,513</w:t>
            </w:r>
          </w:p>
        </w:tc>
        <w:tc>
          <w:tcPr>
            <w:tcW w:w="113" w:type="dxa"/>
            <w:tcBorders/>
            <w:shd w:fill="CCEEFF" w:val="clear"/>
            <w:vAlign w:val="center"/>
          </w:tcPr>
          <w:p>
            <w:pPr>
              <w:pStyle w:val="TableContents"/>
              <w:bidi w:val="0"/>
              <w:spacing w:before="0" w:after="283"/>
              <w:jc w:val="left"/>
              <w:rPr/>
            </w:pPr>
            <w:r>
              <w:rPr/>
              <w:t> </w:t>
            </w:r>
            <w:bookmarkStart w:id="187" w:name="xdx_405_eus-gaap--IncreaseDecreaseInOper"/>
            <w:bookmarkEnd w:id="187"/>
          </w:p>
        </w:tc>
      </w:tr>
      <w:tr>
        <w:trPr/>
        <w:tc>
          <w:tcPr>
            <w:tcW w:w="724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8" w:name="xdx_402_eus-gaap--IncreaseDecreaseInOthe"/>
            <w:bookmarkEnd w:id="188"/>
          </w:p>
        </w:tc>
      </w:tr>
      <w:tr>
        <w:trPr/>
        <w:tc>
          <w:tcPr>
            <w:tcW w:w="724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(30,434</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6,740</w:t>
            </w:r>
          </w:p>
        </w:tc>
        <w:tc>
          <w:tcPr>
            <w:tcW w:w="113" w:type="dxa"/>
            <w:tcBorders/>
            <w:shd w:fill="CCEEFF" w:val="clear"/>
            <w:vAlign w:val="center"/>
          </w:tcPr>
          <w:p>
            <w:pPr>
              <w:pStyle w:val="TableContents"/>
              <w:bidi w:val="0"/>
              <w:spacing w:before="0" w:after="283"/>
              <w:jc w:val="left"/>
              <w:rPr/>
            </w:pPr>
            <w:r>
              <w:rPr/>
              <w:t> </w:t>
            </w:r>
            <w:bookmarkStart w:id="189" w:name="xdx_401_eus-gaap--IncreaseDecreaseInPrep"/>
            <w:bookmarkEnd w:id="189"/>
          </w:p>
        </w:tc>
      </w:tr>
      <w:tr>
        <w:trPr/>
        <w:tc>
          <w:tcPr>
            <w:tcW w:w="72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(719,852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(879,743</w:t>
            </w:r>
          </w:p>
        </w:tc>
        <w:tc>
          <w:tcPr>
            <w:tcW w:w="113" w:type="dxa"/>
            <w:tcBorders/>
            <w:shd w:fill="FFFFFF" w:val="clear"/>
            <w:vAlign w:val="center"/>
          </w:tcPr>
          <w:p>
            <w:pPr>
              <w:pStyle w:val="TableContents"/>
              <w:bidi w:val="0"/>
              <w:spacing w:before="0" w:after="283"/>
              <w:jc w:val="left"/>
              <w:rPr/>
            </w:pPr>
            <w:r>
              <w:rPr/>
              <w:t>)</w:t>
            </w:r>
            <w:bookmarkStart w:id="190" w:name="xdx_409_ecustom--IncreaseDecreaseInOpera"/>
            <w:bookmarkEnd w:id="190"/>
          </w:p>
        </w:tc>
      </w:tr>
      <w:tr>
        <w:trPr/>
        <w:tc>
          <w:tcPr>
            <w:tcW w:w="724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115,499</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(1,348,209</w:t>
            </w:r>
          </w:p>
        </w:tc>
        <w:tc>
          <w:tcPr>
            <w:tcW w:w="113" w:type="dxa"/>
            <w:tcBorders/>
            <w:shd w:fill="CCEEFF" w:val="clear"/>
            <w:vAlign w:val="center"/>
          </w:tcPr>
          <w:p>
            <w:pPr>
              <w:pStyle w:val="TableContents"/>
              <w:bidi w:val="0"/>
              <w:spacing w:before="0" w:after="283"/>
              <w:jc w:val="left"/>
              <w:rPr/>
            </w:pPr>
            <w:r>
              <w:rPr/>
              <w:t>)</w:t>
            </w:r>
            <w:bookmarkStart w:id="191" w:name="xdx_403_eus-gaap--IncreaseDecreaseInAcco"/>
            <w:bookmarkEnd w:id="191"/>
          </w:p>
        </w:tc>
      </w:tr>
      <w:tr>
        <w:trPr/>
        <w:tc>
          <w:tcPr>
            <w:tcW w:w="7240" w:type="dxa"/>
            <w:tcBorders/>
            <w:shd w:fill="FFFFFF" w:val="clear"/>
            <w:vAlign w:val="center"/>
          </w:tcPr>
          <w:p>
            <w:pPr>
              <w:pStyle w:val="TableContents"/>
              <w:bidi w:val="0"/>
              <w:spacing w:before="0" w:after="283"/>
              <w:jc w:val="left"/>
              <w:rPr/>
            </w:pPr>
            <w:r>
              <w:rPr/>
              <w:t>Trade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45,244</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(935,266</w:t>
            </w:r>
          </w:p>
        </w:tc>
        <w:tc>
          <w:tcPr>
            <w:tcW w:w="113" w:type="dxa"/>
            <w:tcBorders/>
            <w:shd w:fill="FFFFFF" w:val="clear"/>
            <w:vAlign w:val="center"/>
          </w:tcPr>
          <w:p>
            <w:pPr>
              <w:pStyle w:val="TableContents"/>
              <w:bidi w:val="0"/>
              <w:spacing w:before="0" w:after="283"/>
              <w:jc w:val="left"/>
              <w:rPr/>
            </w:pPr>
            <w:r>
              <w:rPr/>
              <w:t>)</w:t>
            </w:r>
            <w:bookmarkStart w:id="192" w:name="xdx_40B_eus-gaap--IncreaseDecreaseInOper"/>
            <w:bookmarkEnd w:id="192"/>
          </w:p>
        </w:tc>
      </w:tr>
      <w:tr>
        <w:trPr/>
        <w:tc>
          <w:tcPr>
            <w:tcW w:w="7240" w:type="dxa"/>
            <w:tcBorders/>
            <w:shd w:fill="CCEEFF" w:val="clear"/>
            <w:vAlign w:val="center"/>
          </w:tcPr>
          <w:p>
            <w:pPr>
              <w:pStyle w:val="TableContents"/>
              <w:bidi w:val="0"/>
              <w:spacing w:before="0" w:after="283"/>
              <w:jc w:val="left"/>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16,268</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92,971</w:t>
            </w:r>
          </w:p>
        </w:tc>
        <w:tc>
          <w:tcPr>
            <w:tcW w:w="113" w:type="dxa"/>
            <w:tcBorders/>
            <w:shd w:fill="CCEEFF" w:val="clear"/>
            <w:vAlign w:val="center"/>
          </w:tcPr>
          <w:p>
            <w:pPr>
              <w:pStyle w:val="TableContents"/>
              <w:bidi w:val="0"/>
              <w:spacing w:before="0" w:after="283"/>
              <w:jc w:val="left"/>
              <w:rPr/>
            </w:pPr>
            <w:r>
              <w:rPr/>
              <w:t> </w:t>
            </w:r>
            <w:bookmarkStart w:id="193" w:name="xdx_40A_ecustom--IncreaseDecreaseInLongt"/>
            <w:bookmarkEnd w:id="193"/>
          </w:p>
        </w:tc>
      </w:tr>
      <w:tr>
        <w:trPr/>
        <w:tc>
          <w:tcPr>
            <w:tcW w:w="7240" w:type="dxa"/>
            <w:tcBorders/>
            <w:shd w:fill="FFFFFF" w:val="clear"/>
            <w:vAlign w:val="center"/>
          </w:tcPr>
          <w:p>
            <w:pPr>
              <w:pStyle w:val="TableContents"/>
              <w:bidi w:val="0"/>
              <w:spacing w:before="0" w:after="283"/>
              <w:jc w:val="left"/>
              <w:rPr/>
            </w:pPr>
            <w:r>
              <w:rPr/>
              <w:t>Long-term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(131,767</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1,223,587</w:t>
            </w:r>
          </w:p>
        </w:tc>
        <w:tc>
          <w:tcPr>
            <w:tcW w:w="113" w:type="dxa"/>
            <w:tcBorders/>
            <w:shd w:fill="FFFFFF" w:val="clear"/>
            <w:vAlign w:val="center"/>
          </w:tcPr>
          <w:p>
            <w:pPr>
              <w:pStyle w:val="TableContents"/>
              <w:bidi w:val="0"/>
              <w:spacing w:before="0" w:after="283"/>
              <w:jc w:val="left"/>
              <w:rPr/>
            </w:pPr>
            <w:r>
              <w:rPr/>
              <w:t> </w:t>
            </w:r>
            <w:bookmarkStart w:id="194" w:name="xdx_401_eus-gaap--NetCashProvidedByUsedI"/>
            <w:bookmarkEnd w:id="194"/>
          </w:p>
        </w:tc>
      </w:tr>
      <w:tr>
        <w:trPr/>
        <w:tc>
          <w:tcPr>
            <w:tcW w:w="72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(12,812,465</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(9,403,539</w:t>
            </w:r>
          </w:p>
        </w:tc>
        <w:tc>
          <w:tcPr>
            <w:tcW w:w="113" w:type="dxa"/>
            <w:tcBorders/>
            <w:shd w:fill="CCEEFF" w:val="clear"/>
            <w:vAlign w:val="center"/>
          </w:tcPr>
          <w:p>
            <w:pPr>
              <w:pStyle w:val="TableContents"/>
              <w:bidi w:val="0"/>
              <w:spacing w:before="0" w:after="283"/>
              <w:jc w:val="left"/>
              <w:rPr/>
            </w:pPr>
            <w:r>
              <w:rPr/>
              <w:t>)</w:t>
            </w:r>
          </w:p>
        </w:tc>
      </w:tr>
      <w:tr>
        <w:trPr/>
        <w:tc>
          <w:tcPr>
            <w:tcW w:w="7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5" w:name="xdx_402_eus-gaap--NetCashProvidedByUsedI"/>
            <w:bookmarkEnd w:id="195"/>
          </w:p>
        </w:tc>
      </w:tr>
      <w:tr>
        <w:trPr/>
        <w:tc>
          <w:tcPr>
            <w:tcW w:w="7240"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 w:name="xdx_406_eus-gaap--PaymentsToAcquirePrope"/>
            <w:bookmarkEnd w:id="196"/>
          </w:p>
        </w:tc>
      </w:tr>
      <w:tr>
        <w:trPr/>
        <w:tc>
          <w:tcPr>
            <w:tcW w:w="724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(128,263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(5,925</w:t>
            </w:r>
          </w:p>
        </w:tc>
        <w:tc>
          <w:tcPr>
            <w:tcW w:w="113" w:type="dxa"/>
            <w:tcBorders/>
            <w:shd w:fill="FFFFFF" w:val="clear"/>
            <w:vAlign w:val="center"/>
          </w:tcPr>
          <w:p>
            <w:pPr>
              <w:pStyle w:val="TableContents"/>
              <w:bidi w:val="0"/>
              <w:spacing w:before="0" w:after="283"/>
              <w:jc w:val="left"/>
              <w:rPr/>
            </w:pPr>
            <w:r>
              <w:rPr/>
              <w:t>)</w:t>
            </w:r>
            <w:bookmarkStart w:id="197" w:name="xdx_40E_eus-gaap--NetCashProvidedByUsedI"/>
            <w:bookmarkEnd w:id="197"/>
          </w:p>
        </w:tc>
      </w:tr>
      <w:tr>
        <w:trPr/>
        <w:tc>
          <w:tcPr>
            <w:tcW w:w="724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(128,263</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(5,925</w:t>
            </w:r>
          </w:p>
        </w:tc>
        <w:tc>
          <w:tcPr>
            <w:tcW w:w="113" w:type="dxa"/>
            <w:tcBorders/>
            <w:shd w:fill="CCEEFF" w:val="clear"/>
            <w:vAlign w:val="center"/>
          </w:tcPr>
          <w:p>
            <w:pPr>
              <w:pStyle w:val="TableContents"/>
              <w:bidi w:val="0"/>
              <w:spacing w:before="0" w:after="283"/>
              <w:jc w:val="left"/>
              <w:rPr>
                <w:b/>
              </w:rPr>
            </w:pPr>
            <w:r>
              <w:rPr>
                <w:b/>
              </w:rPr>
              <w:t>)</w:t>
            </w:r>
          </w:p>
        </w:tc>
      </w:tr>
      <w:tr>
        <w:trPr/>
        <w:tc>
          <w:tcPr>
            <w:tcW w:w="7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8" w:name="xdx_402_eus-gaap--NetCashProvidedByUsedI"/>
            <w:bookmarkEnd w:id="198"/>
          </w:p>
        </w:tc>
      </w:tr>
      <w:tr>
        <w:trPr/>
        <w:tc>
          <w:tcPr>
            <w:tcW w:w="724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9" w:name="xdx_40F_eus-gaap--ProceedsFromIssuanceOf"/>
            <w:bookmarkEnd w:id="199"/>
          </w:p>
        </w:tc>
      </w:tr>
      <w:tr>
        <w:trPr/>
        <w:tc>
          <w:tcPr>
            <w:tcW w:w="7240" w:type="dxa"/>
            <w:tcBorders/>
            <w:shd w:fill="FFFFFF" w:val="clear"/>
            <w:vAlign w:val="center"/>
          </w:tcPr>
          <w:p>
            <w:pPr>
              <w:pStyle w:val="TableContents"/>
              <w:bidi w:val="0"/>
              <w:spacing w:before="0" w:after="283"/>
              <w:jc w:val="left"/>
              <w:rPr/>
            </w:pPr>
            <w:r>
              <w:rPr/>
              <w:t>Proceeds from the issuance of common stock and common stock purchase warrants, net of fees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31,050,164</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6,102,756</w:t>
            </w:r>
          </w:p>
        </w:tc>
        <w:tc>
          <w:tcPr>
            <w:tcW w:w="113" w:type="dxa"/>
            <w:tcBorders/>
            <w:shd w:fill="FFFFFF" w:val="clear"/>
            <w:vAlign w:val="center"/>
          </w:tcPr>
          <w:p>
            <w:pPr>
              <w:pStyle w:val="TableContents"/>
              <w:bidi w:val="0"/>
              <w:spacing w:before="0" w:after="283"/>
              <w:jc w:val="left"/>
              <w:rPr/>
            </w:pPr>
            <w:r>
              <w:rPr/>
              <w:t> </w:t>
            </w:r>
            <w:bookmarkStart w:id="200" w:name="xdx_40B_eus-gaap--RepaymentsOfNotesPayab"/>
            <w:bookmarkEnd w:id="200"/>
          </w:p>
        </w:tc>
      </w:tr>
      <w:tr>
        <w:trPr/>
        <w:tc>
          <w:tcPr>
            <w:tcW w:w="724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(660,000</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1" w:name="xdx_40F_eus-gaap--FinanceLeasePrincipalP"/>
            <w:bookmarkEnd w:id="201"/>
          </w:p>
        </w:tc>
      </w:tr>
      <w:tr>
        <w:trPr/>
        <w:tc>
          <w:tcPr>
            <w:tcW w:w="7240" w:type="dxa"/>
            <w:tcBorders/>
            <w:shd w:fill="FFFFFF" w:val="clear"/>
            <w:vAlign w:val="center"/>
          </w:tcPr>
          <w:p>
            <w:pPr>
              <w:pStyle w:val="TableContents"/>
              <w:bidi w:val="0"/>
              <w:spacing w:before="0" w:after="283"/>
              <w:jc w:val="left"/>
              <w:rPr/>
            </w:pPr>
            <w:r>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(4,430</w:t>
            </w:r>
          </w:p>
        </w:tc>
        <w:tc>
          <w:tcPr>
            <w:tcW w:w="113" w:type="dxa"/>
            <w:tcBorders/>
            <w:shd w:fill="FFFFFF" w:val="clear"/>
            <w:vAlign w:val="center"/>
          </w:tcPr>
          <w:p>
            <w:pPr>
              <w:pStyle w:val="TableContents"/>
              <w:bidi w:val="0"/>
              <w:spacing w:before="0" w:after="283"/>
              <w:jc w:val="left"/>
              <w:rPr/>
            </w:pPr>
            <w:r>
              <w:rPr/>
              <w:t>)</w:t>
            </w:r>
            <w:bookmarkStart w:id="202" w:name="xdx_402_eus-gaap--NetCashProvidedByUsedI"/>
            <w:bookmarkEnd w:id="202"/>
          </w:p>
        </w:tc>
      </w:tr>
      <w:tr>
        <w:trPr/>
        <w:tc>
          <w:tcPr>
            <w:tcW w:w="724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30,390,164</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6,098,326</w:t>
            </w:r>
          </w:p>
        </w:tc>
        <w:tc>
          <w:tcPr>
            <w:tcW w:w="113" w:type="dxa"/>
            <w:tcBorders/>
            <w:shd w:fill="CCEEFF" w:val="clear"/>
            <w:vAlign w:val="center"/>
          </w:tcPr>
          <w:p>
            <w:pPr>
              <w:pStyle w:val="TableContents"/>
              <w:bidi w:val="0"/>
              <w:spacing w:before="0" w:after="283"/>
              <w:jc w:val="left"/>
              <w:rPr/>
            </w:pPr>
            <w:r>
              <w:rPr/>
              <w:t> </w:t>
            </w:r>
          </w:p>
        </w:tc>
      </w:tr>
      <w:tr>
        <w:trPr/>
        <w:tc>
          <w:tcPr>
            <w:tcW w:w="7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3" w:name="xdx_405_eus-gaap--CashCashEquivalentsRes"/>
            <w:bookmarkEnd w:id="203"/>
          </w:p>
        </w:tc>
      </w:tr>
      <w:tr>
        <w:trPr/>
        <w:tc>
          <w:tcPr>
            <w:tcW w:w="7240" w:type="dxa"/>
            <w:tcBorders/>
            <w:shd w:fill="CCEEFF" w:val="clear"/>
            <w:vAlign w:val="center"/>
          </w:tcPr>
          <w:p>
            <w:pPr>
              <w:pStyle w:val="TableContents"/>
              <w:bidi w:val="0"/>
              <w:spacing w:before="0" w:after="283"/>
              <w:jc w:val="left"/>
              <w:rPr>
                <w:b/>
              </w:rPr>
            </w:pPr>
            <w:r>
              <w:rPr>
                <w:b/>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4" w:name="xdx_40F_eus-gaap--CashCashEquivalentsRes"/>
            <w:bookmarkEnd w:id="204"/>
          </w:p>
        </w:tc>
      </w:tr>
      <w:tr>
        <w:trPr/>
        <w:tc>
          <w:tcPr>
            <w:tcW w:w="7240"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17,449,436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(3,311,138</w:t>
            </w:r>
          </w:p>
        </w:tc>
        <w:tc>
          <w:tcPr>
            <w:tcW w:w="113" w:type="dxa"/>
            <w:tcBorders/>
            <w:shd w:fill="FFFFFF" w:val="clear"/>
            <w:vAlign w:val="center"/>
          </w:tcPr>
          <w:p>
            <w:pPr>
              <w:pStyle w:val="TableContents"/>
              <w:bidi w:val="0"/>
              <w:spacing w:before="0" w:after="283"/>
              <w:jc w:val="left"/>
              <w:rPr/>
            </w:pPr>
            <w:r>
              <w:rPr/>
              <w:t>)</w:t>
            </w:r>
            <w:bookmarkStart w:id="205" w:name="xdx_40D_eus-gaap--CashCashEquivalentsRes"/>
            <w:bookmarkEnd w:id="205"/>
          </w:p>
        </w:tc>
      </w:tr>
      <w:tr>
        <w:trPr/>
        <w:tc>
          <w:tcPr>
            <w:tcW w:w="7240" w:type="dxa"/>
            <w:tcBorders/>
            <w:shd w:fill="CCEEFF" w:val="clear"/>
            <w:vAlign w:val="center"/>
          </w:tcPr>
          <w:p>
            <w:pPr>
              <w:pStyle w:val="TableContents"/>
              <w:bidi w:val="0"/>
              <w:spacing w:before="0" w:after="283"/>
              <w:jc w:val="left"/>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pPr>
            <w:r>
              <w:rPr/>
              <w:t>10,953,383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pPr>
            <w:r>
              <w:rPr/>
              <w:t>12,211,321</w:t>
            </w:r>
          </w:p>
        </w:tc>
        <w:tc>
          <w:tcPr>
            <w:tcW w:w="113" w:type="dxa"/>
            <w:tcBorders/>
            <w:shd w:fill="CCEEFF" w:val="clear"/>
            <w:vAlign w:val="center"/>
          </w:tcPr>
          <w:p>
            <w:pPr>
              <w:pStyle w:val="TableContents"/>
              <w:bidi w:val="0"/>
              <w:spacing w:before="0" w:after="283"/>
              <w:jc w:val="left"/>
              <w:rPr/>
            </w:pPr>
            <w:r>
              <w:rPr/>
              <w:t> </w:t>
            </w:r>
            <w:bookmarkStart w:id="206" w:name="xdx_401_eus-gaap--CashCashEquivalentsRes"/>
            <w:bookmarkEnd w:id="206"/>
          </w:p>
        </w:tc>
      </w:tr>
      <w:tr>
        <w:trPr/>
        <w:tc>
          <w:tcPr>
            <w:tcW w:w="7240"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28,402,819</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8,900,183</w:t>
            </w:r>
          </w:p>
        </w:tc>
        <w:tc>
          <w:tcPr>
            <w:tcW w:w="113" w:type="dxa"/>
            <w:tcBorders/>
            <w:shd w:fill="FFFFFF" w:val="clear"/>
            <w:vAlign w:val="center"/>
          </w:tcPr>
          <w:p>
            <w:pPr>
              <w:pStyle w:val="TableContents"/>
              <w:bidi w:val="0"/>
              <w:spacing w:before="0" w:after="283"/>
              <w:jc w:val="left"/>
              <w:rPr/>
            </w:pPr>
            <w:r>
              <w:rPr/>
              <w:t> </w:t>
            </w:r>
          </w:p>
        </w:tc>
      </w:tr>
      <w:tr>
        <w:trPr/>
        <w:tc>
          <w:tcPr>
            <w:tcW w:w="7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7" w:name="xdx_403_eus-gaap--InterestPaidNet_z9Ho7x"/>
            <w:bookmarkEnd w:id="207"/>
          </w:p>
        </w:tc>
      </w:tr>
      <w:tr>
        <w:trPr/>
        <w:tc>
          <w:tcPr>
            <w:tcW w:w="7240" w:type="dxa"/>
            <w:tcBorders/>
            <w:shd w:fill="FFFFFF" w:val="clear"/>
            <w:vAlign w:val="center"/>
          </w:tcPr>
          <w:p>
            <w:pPr>
              <w:pStyle w:val="TableContents"/>
              <w:bidi w:val="0"/>
              <w:spacing w:before="0" w:after="283"/>
              <w:jc w:val="left"/>
              <w:rPr>
                <w:b/>
              </w:rPr>
            </w:pPr>
            <w:r>
              <w:rPr>
                <w:b/>
              </w:rPr>
              <w:t>Cash paid for interest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b/>
              </w:rPr>
            </w:pPr>
            <w:r>
              <w:rPr>
                <w:b/>
              </w:rPr>
              <w:t>$</w:t>
            </w:r>
          </w:p>
        </w:tc>
        <w:tc>
          <w:tcPr>
            <w:tcW w:w="1212" w:type="dxa"/>
            <w:tcBorders/>
            <w:shd w:fill="FFFFFF" w:val="clear"/>
            <w:vAlign w:val="center"/>
          </w:tcPr>
          <w:p>
            <w:pPr>
              <w:pStyle w:val="TableContents"/>
              <w:bidi w:val="0"/>
              <w:spacing w:before="0" w:after="283"/>
              <w:jc w:val="right"/>
              <w:rPr>
                <w:b/>
              </w:rPr>
            </w:pPr>
            <w:r>
              <w:rPr>
                <w:b/>
              </w:rPr>
              <w:t>803</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b/>
              </w:rPr>
            </w:pPr>
            <w:r>
              <w:rPr>
                <w:b/>
              </w:rPr>
              <w:t>$</w:t>
            </w:r>
          </w:p>
        </w:tc>
        <w:tc>
          <w:tcPr>
            <w:tcW w:w="1135" w:type="dxa"/>
            <w:tcBorders/>
            <w:shd w:fill="FFFFFF" w:val="clear"/>
            <w:vAlign w:val="center"/>
          </w:tcPr>
          <w:p>
            <w:pPr>
              <w:pStyle w:val="TableContents"/>
              <w:bidi w:val="0"/>
              <w:spacing w:before="0" w:after="283"/>
              <w:jc w:val="right"/>
              <w:rPr>
                <w:b/>
              </w:rPr>
            </w:pPr>
            <w:r>
              <w:rPr>
                <w:b/>
              </w:rPr>
              <w:t>16,250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8" w:name="xdx_80C_eus-gaap--BusinessDescriptionAnd"/>
      <w:bookmarkEnd w:id="208"/>
      <w:r>
        <w:rPr>
          <w:rFonts w:ascii="Times New Roman;Times;Serif" w:hAnsi="Times New Roman;Times;Serif"/>
          <w:b/>
          <w:i w:val="false"/>
          <w:caps w:val="false"/>
          <w:smallCaps w:val="false"/>
          <w:sz w:val="20"/>
        </w:rPr>
        <w:t xml:space="preserve">(1) </w:t>
      </w:r>
      <w:bookmarkStart w:id="209" w:name="xdx_82F_zek0BBlo7A5g"/>
      <w:bookmarkEnd w:id="209"/>
      <w:r>
        <w:rPr>
          <w:rFonts w:ascii="Times New Roman;Times;Serif" w:hAnsi="Times New Roman;Times;Serif"/>
          <w:b/>
          <w:i w:val="false"/>
          <w:caps w:val="false"/>
          <w:smallCaps w:val="false"/>
          <w:sz w:val="20"/>
        </w:rPr>
        <w:t>Nature of the Business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(Cingulate, or the Company), a Delaware corporation, is a biopharmaceutical company focused on the development of products utilizing its drug delivery platform technology that enables the formulation and manufacture of once-daily tablets of multi-dose therapies, with an initial focus on the treatment of Attention Deficit/Hyperactivity Disorder (ADHD). The Company is developing two proprietary, first-line stimulant medications, CTx-1301 (dexmethylphenidate) and CTx-1302 (dextroamphetamine), for the treatment of ADHD intended for all patient segments: children, adolescents, and adults. CTx-1301 and CTx-1302 utilize a flexible core tableting technology with target product profile designed to deliver a rapid onset and last the entire active day with a controlled descent of plasma drug level and have favorable tolerability. CTx1301 is in late-stage development, and we plan to initiate the clinical plan for CTx-1302 pending additional capital resources. In addition, the Company has a third product to treat anxiety, CTx-2103, in a formulation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submitted its New Drug Application (NDA) to the U.S. Food and Drug Administration (FDA) on July 31, 2025 for lead asset CTx-1301 and received confirmation of acceptance of the NDA in early October 2025 with a Prescription Drug User Fee Act (PDUFA) target action date of May 31, 2026. On June 2, 2026, the Company announced that the FDA issued a Complete Response Letter for the CTx-1301 NDA, which identified specific requests for additional Chemistry, Manufacturing and Controls information. A failure to receive FDA approval for CTx-1301, or a delay in receiving such approval, will likely have a material adverse impact on the Company’s financial results and strategic position. For more information, please see “Risk Factors” below in Part II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notes for the periods ended June 30, 2026 and 2025, represent the full consolidation of Cingulate and its subsidiaries, including Cingulate Therapeutics LLC (CTx) and all references to the Company represent this full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and negative cash flows from operations since inception. As a pre-revenue entity, the Company is dependent on the ability to raise capital to support operations until such time as the product candidates under development are FDA approved, manufactured, commercially available to the marketplace and produce revenues. On June 30, 2026, the Company had cash and cash equivalents of approximately $</w:t>
      </w:r>
      <w:bookmarkStart w:id="210" w:name="xdx_908_eus-gaap--CashAndCashEquivalents"/>
      <w:bookmarkEnd w:id="210"/>
      <w:r>
        <w:rPr>
          <w:rFonts w:ascii="Times New Roman;Times;Serif" w:hAnsi="Times New Roman;Times;Serif"/>
          <w:b w:val="false"/>
          <w:i w:val="false"/>
          <w:caps w:val="false"/>
          <w:smallCaps w:val="false"/>
          <w:sz w:val="20"/>
        </w:rPr>
        <w:t>28.4 million, and an accumulated deficit of approximately $</w:t>
      </w:r>
      <w:bookmarkStart w:id="211" w:name="xdx_906_eus-gaap--RetainedEarningsAccumu"/>
      <w:bookmarkEnd w:id="211"/>
      <w:r>
        <w:rPr>
          <w:rFonts w:ascii="Times New Roman;Times;Serif" w:hAnsi="Times New Roman;Times;Serif"/>
          <w:b w:val="false"/>
          <w:i w:val="false"/>
          <w:caps w:val="false"/>
          <w:smallCaps w:val="false"/>
          <w:sz w:val="20"/>
        </w:rPr>
        <w:t>147.6 million. However, the Company will need additional funding for operations and development. Management is evaluating various strategies to obtain additional funding, which may include additional offerings of equity, issuance of debt, or other capital sources, including potential collaborations with other companies or other strategic transactions. Successful implementation of these plans involves both the Company’s efforts and factors that are outside its control, such as market factors and FDA approval of product candidates. The Company can give no assurance that its plans will be effectively implemented in such a way that they will sufficiently alleviate or mitigate the conditions and events noted above, which results in substantial doubt about the Company’s ability to continue as a going concern within one year after the date that the financial statements are issued. The accompanying consolidated financial statements have been prepared on a going concern basis, which contemplates the realization of assets and satisfaction of liabilities in the normal course of business. The consolidated financial statements do not reflect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2" w:name="xdx_80D_eus-gaap--SignificantAccountingP"/>
      <w:bookmarkEnd w:id="212"/>
      <w:r>
        <w:rPr>
          <w:rFonts w:ascii="Times New Roman;Times;Serif" w:hAnsi="Times New Roman;Times;Serif"/>
          <w:b/>
          <w:i w:val="false"/>
          <w:caps w:val="false"/>
          <w:smallCaps w:val="false"/>
          <w:sz w:val="20"/>
        </w:rPr>
        <w:t xml:space="preserve">(2) </w:t>
      </w:r>
      <w:bookmarkStart w:id="213" w:name="xdx_825_zkExlIz7qEm2"/>
      <w:bookmarkEnd w:id="21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14" w:name="xdx_843_eus-gaap--BasisOfAccountingPolic"/>
      <w:bookmarkEnd w:id="214"/>
      <w:r>
        <w:rPr>
          <w:rFonts w:ascii="Times New Roman;Times;Serif" w:hAnsi="Times New Roman;Times;Serif"/>
          <w:b/>
          <w:i w:val="false"/>
          <w:caps w:val="false"/>
          <w:smallCaps w:val="false"/>
          <w:sz w:val="20"/>
        </w:rPr>
        <w:t xml:space="preserve">(a) </w:t>
      </w:r>
      <w:bookmarkStart w:id="215" w:name="xdx_861_zbhjxtvIOkY5"/>
      <w:bookmarkEnd w:id="215"/>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(U.S. GAAP). The consolidated financial statements include the accounts of Cingulate and its wholly-owned subsidiaries. All intercompany accounts and transactions have been eliminated in consolidation.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16" w:name="xdx_841_ecustom--UnauditedInterimFinanci"/>
      <w:bookmarkEnd w:id="216"/>
      <w:r>
        <w:rPr>
          <w:rFonts w:ascii="Times New Roman;Times;Serif" w:hAnsi="Times New Roman;Times;Serif"/>
          <w:b/>
          <w:i w:val="false"/>
          <w:caps w:val="false"/>
          <w:smallCaps w:val="false"/>
          <w:sz w:val="20"/>
        </w:rPr>
        <w:t xml:space="preserve">(b) </w:t>
      </w:r>
      <w:bookmarkStart w:id="217" w:name="xdx_86E_zJii8Ss5LNr6"/>
      <w:bookmarkEnd w:id="217"/>
      <w:r>
        <w:rPr>
          <w:rFonts w:ascii="Times New Roman;Times;Serif" w:hAnsi="Times New Roman;Times;Serif"/>
          <w:b/>
          <w:i w:val="false"/>
          <w:caps w:val="false"/>
          <w:smallCaps w:val="false"/>
          <w:sz w:val="20"/>
        </w:rPr>
        <w:t>Unaudited Interim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balance sheets as of June 30, 2026 and December 31, 2025, the consolidated statements of operations and comprehensive loss for the three and six-month periods ended June 30, 2026 and 2025, the consolidated statements of stockholders’ equity for the three and six-month periods ended June 30, 2026 and 2025, the consolidated statements of cash flows for the six-month periods ended June 30, 2026 and 2025, and the related interim disclosures are unaudited. These unaudited consolidated financial statements include all adjustments necessary, consisting of only normal recurring adjustments, to fairly state the financial position and the results of operations and cash flows for interim periods in accordance with U.S. GAAP. Interim period results are not necessarily indicative of results of operations or cash flows for a full year or any subsequent interim period. The accompanying consolidated financial statements should be read in conjunction with the Company’s 2025 audited consolidated financial statements and the notes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18" w:name="xdx_84D_eus-gaap--ConcentrationRiskCredi"/>
      <w:bookmarkEnd w:id="218"/>
      <w:r>
        <w:rPr>
          <w:rFonts w:ascii="Times New Roman;Times;Serif" w:hAnsi="Times New Roman;Times;Serif"/>
          <w:b/>
          <w:i w:val="false"/>
          <w:caps w:val="false"/>
          <w:smallCaps w:val="false"/>
          <w:sz w:val="20"/>
        </w:rPr>
        <w:t xml:space="preserve">(c) </w:t>
      </w:r>
      <w:bookmarkStart w:id="219" w:name="xdx_860_z9lzOH4HWgXe"/>
      <w:bookmarkEnd w:id="219"/>
      <w:r>
        <w:rPr>
          <w:rFonts w:ascii="Times New Roman;Times;Serif" w:hAnsi="Times New Roman;Times;Serif"/>
          <w:b/>
          <w:i w:val="false"/>
          <w:caps w:val="false"/>
          <w:smallCaps w:val="false"/>
          <w:sz w:val="20"/>
        </w:rPr>
        <w:t>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equivalent deposits, which at various times throughout the fiscal year exceeded the amounts insured by the Federal Deposit Insurance Corporation limit of $</w:t>
      </w:r>
      <w:bookmarkStart w:id="220" w:name="xdx_906_eus-gaap--TimeDepositsAtOrAboveF"/>
      <w:bookmarkEnd w:id="220"/>
      <w:r>
        <w:rPr>
          <w:rFonts w:ascii="Times New Roman;Times;Serif" w:hAnsi="Times New Roman;Times;Serif"/>
          <w:b w:val="false"/>
          <w:i w:val="false"/>
          <w:caps w:val="false"/>
          <w:smallCaps w:val="false"/>
          <w:sz w:val="20"/>
        </w:rPr>
        <w:t>250,000 (without regard to reconciling items). Management monitors the soundness of these financial institutions and does not believe the Company is subject to any material credit risk relative to the uninsured portion of the deposits.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21" w:name="xdx_84B_eus-gaap--ImpairmentOrDisposalOf"/>
      <w:bookmarkEnd w:id="221"/>
      <w:r>
        <w:rPr>
          <w:rFonts w:ascii="Times New Roman;Times;Serif" w:hAnsi="Times New Roman;Times;Serif"/>
          <w:b/>
          <w:i w:val="false"/>
          <w:caps w:val="false"/>
          <w:smallCaps w:val="false"/>
          <w:sz w:val="20"/>
        </w:rPr>
        <w:t xml:space="preserve">(d) </w:t>
      </w:r>
      <w:bookmarkStart w:id="222" w:name="xdx_861_z2uOxTqLG8U"/>
      <w:bookmarkEnd w:id="222"/>
      <w:r>
        <w:rPr>
          <w:rFonts w:ascii="Times New Roman;Times;Serif" w:hAnsi="Times New Roman;Times;Serif"/>
          <w:b/>
          <w:i w:val="false"/>
          <w:caps w:val="false"/>
          <w:smallCaps w:val="false"/>
          <w:sz w:val="20"/>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carrying value of its long-lived assets, including property and equipment, as well as lease right of use (ROU) assets, when events or circumstances indicate that the carrying value of such assets may not be recoverable. These events or changes in circumstances may include a significant deterioration of operating results, changes in business plans, or changes in anticipated future cash flows. If an impairment indicator is present, the Company evaluates recoverability by a comparison of the carrying amount of the assets to future undiscounted cash flows expected to be generated by the assets. If the sum of the expected future cash flows is less than the carrying amount, the Company would recognize an impairment loss. An impairment loss would be measured by comparing the amount by which the carrying value exceeds the fair value of the long-lived asset groups. No impairment was recognized during the six-month periods ended June 30, 2026 or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23" w:name="xdx_84E_eus-gaap--CompensationRelatedCos"/>
      <w:bookmarkEnd w:id="223"/>
      <w:r>
        <w:rPr>
          <w:rFonts w:ascii="Times New Roman;Times;Serif" w:hAnsi="Times New Roman;Times;Serif"/>
          <w:b/>
          <w:i w:val="false"/>
          <w:caps w:val="false"/>
          <w:smallCaps w:val="false"/>
          <w:sz w:val="20"/>
        </w:rPr>
        <w:t xml:space="preserve">(e) </w:t>
      </w:r>
      <w:bookmarkStart w:id="224" w:name="xdx_860_ze2gIBAADq52"/>
      <w:bookmarkEnd w:id="224"/>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employee and director stock-based compensation expense for all stock-based awards based on their grant date fair value using the Black-Scholes option-pricing model. For stock-based awards with service conditions, stock-based compensation expense is recognized over the requisite service period using the straight-line method. Forfeitures are recognized as they occur. See additional information in Note 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25" w:name="xdx_845_eus-gaap--DerivativesPolicyTextB"/>
      <w:bookmarkEnd w:id="225"/>
      <w:r>
        <w:rPr>
          <w:rFonts w:ascii="Times New Roman;Times;Serif" w:hAnsi="Times New Roman;Times;Serif"/>
          <w:b/>
          <w:i w:val="false"/>
          <w:caps w:val="false"/>
          <w:smallCaps w:val="false"/>
          <w:sz w:val="20"/>
        </w:rPr>
        <w:t xml:space="preserve">(f) </w:t>
      </w:r>
      <w:bookmarkStart w:id="226" w:name="xdx_869_zics58in6NW8"/>
      <w:bookmarkEnd w:id="226"/>
      <w:r>
        <w:rPr>
          <w:rFonts w:ascii="Times New Roman;Times;Serif" w:hAnsi="Times New Roman;Times;Serif"/>
          <w:b/>
          <w:i w:val="false"/>
          <w:caps w:val="false"/>
          <w:smallCaps w:val="false"/>
          <w:sz w:val="20"/>
        </w:rPr>
        <w:t>Derivative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financial instruments, including certain equity-linked contracts, to determine if such instruments or any embedded components qualify as derivatives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2025 LP Purchase Agreement (as defined in Note 9) that includes the right to require Lincoln Park (as defined in Note 9) to purchase shares of common stock in the future (“purchased put right”) considering the guidance in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concluded that it is an equity-linked contract that does not qualify for equity classification, and therefore requires fair value accounting as a derivative asset (liability). The Company has analyzed the terms of the purchased put right and has concluded that it had insignificant value as of June 30, 2026.</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bookmarkStart w:id="227" w:name="xdx_84E_eus-gaap--PriorPeriodReclassific"/>
      <w:bookmarkEnd w:id="227"/>
      <w:r>
        <w:rPr>
          <w:rFonts w:ascii="Times New Roman;Times;Serif" w:hAnsi="Times New Roman;Times;Serif"/>
          <w:b/>
          <w:i w:val="false"/>
          <w:caps w:val="false"/>
          <w:smallCaps w:val="false"/>
          <w:sz w:val="20"/>
        </w:rPr>
        <w:t xml:space="preserve">(g) </w:t>
      </w:r>
      <w:bookmarkStart w:id="228" w:name="xdx_86D_z54BFJL54ZXb"/>
      <w:bookmarkEnd w:id="228"/>
      <w:r>
        <w:rPr>
          <w:rFonts w:ascii="Times New Roman;Times;Serif" w:hAnsi="Times New Roman;Times;Serif"/>
          <w:b/>
          <w:i w:val="false"/>
          <w:caps w:val="false"/>
          <w:smallCaps w:val="false"/>
          <w:sz w:val="20"/>
        </w:rPr>
        <w:t>Reclassifications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preparation of the interim financial statements as of and for the three and nine months ended September 30, 2025, the Company identified certain errors in its accounting for the Original LP Purchase Agreement in previously issued consolidated financial statements. Accordingly, the comparative financial statements included in this report differ from our previously filed Quarterly Report on Form 10-Q as of and for the three and six months ended June 30, 2025, reflecting the error correction for the misclassification of the commitment shares issued on the Original LP Purchase Agreement and change in fair value of the derivative initially recorded as a deduction to additional paid-in-capital on the consolidated statements of stockholders’ equity and now expensed through change in fair value of derivative on the consolidated statements of operations and comprehensive loss. The correction of this error resulted in an increase in change in fair value of derivative and net loss and net comprehensive loss; however, no change to total stockholders’ equity or net cash used in operating activities on the consolidated statements of cash flows. In evaluating whether the Company’s previously issued consolidated financial statements were materially misstated, the Company performed an analysis of quantitative and qualitative factors in accordance with Staff Accounting Bulletin (SAB) No. 99, </w:t>
      </w:r>
      <w:r>
        <w:rPr>
          <w:rFonts w:ascii="Times New Roman;Times;Serif" w:hAnsi="Times New Roman;Times;Serif"/>
          <w:b w:val="false"/>
          <w:i/>
          <w:caps w:val="false"/>
          <w:smallCaps w:val="false"/>
          <w:sz w:val="20"/>
        </w:rPr>
        <w:t>Materiality</w:t>
      </w:r>
      <w:r>
        <w:rPr>
          <w:rFonts w:ascii="Times New Roman;Times;Serif" w:hAnsi="Times New Roman;Times;Serif"/>
          <w:b w:val="false"/>
          <w:i w:val="false"/>
          <w:caps w:val="false"/>
          <w:smallCaps w:val="false"/>
          <w:sz w:val="20"/>
        </w:rPr>
        <w:t xml:space="preserve">, and SAB No. 108, </w:t>
      </w:r>
      <w:r>
        <w:rPr>
          <w:rFonts w:ascii="Times New Roman;Times;Serif" w:hAnsi="Times New Roman;Times;Serif"/>
          <w:b w:val="false"/>
          <w:i/>
          <w:caps w:val="false"/>
          <w:smallCaps w:val="false"/>
          <w:sz w:val="20"/>
        </w:rPr>
        <w:t>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xml:space="preserve">, and considered the guidance in ASC Topic 250, </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The Company believes the adjustments recorded for correction of the error are immaterial to the previously issued consolidated financial statements either individually or in the aggregate for each of the respective comparative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29" w:name="xdx_895_eus-gaap--ScheduleOfErrorCorrect"/>
      <w:bookmarkEnd w:id="229"/>
      <w:r>
        <w:rPr>
          <w:rFonts w:ascii="Times New Roman;Times;Serif" w:hAnsi="Times New Roman;Times;Serif"/>
          <w:b w:val="false"/>
          <w:i w:val="false"/>
          <w:caps w:val="false"/>
          <w:smallCaps w:val="false"/>
          <w:sz w:val="20"/>
        </w:rPr>
        <w:t>The corrections to the Company’s consolidated statements of operations and comprehensive loss were as follows:</w:t>
      </w:r>
    </w:p>
    <w:p>
      <w:pPr>
        <w:pStyle w:val="TextBody"/>
        <w:bidi w:val="0"/>
        <w:spacing w:before="0" w:after="0"/>
        <w:ind w:left="720" w:right="0" w:hanging="0"/>
        <w:jc w:val="both"/>
        <w:rPr>
          <w:caps w:val="false"/>
          <w:smallCaps w:val="false"/>
        </w:rPr>
      </w:pPr>
      <w:r>
        <w:rPr>
          <w:caps w:val="false"/>
          <w:smallCaps w:val="false"/>
        </w:rPr>
        <w:t> </w:t>
      </w:r>
      <w:bookmarkStart w:id="230" w:name="xdx_8BD_zr78T1umsr8e"/>
      <w:bookmarkEnd w:id="230"/>
      <w:r>
        <w:rPr>
          <w:rFonts w:ascii="Times New Roman;Times;Serif" w:hAnsi="Times New Roman;Times;Serif"/>
          <w:b w:val="false"/>
          <w:i w:val="false"/>
          <w:caps w:val="false"/>
          <w:smallCaps w:val="false"/>
          <w:sz w:val="20"/>
        </w:rPr>
        <w:t>Schedule of Error Corrections and Prior Period Adjustments</w:t>
      </w:r>
    </w:p>
    <w:tbl>
      <w:tblPr>
        <w:tblW w:w="10205" w:type="dxa"/>
        <w:jc w:val="left"/>
        <w:tblInd w:w="0" w:type="dxa"/>
        <w:tblLayout w:type="fixed"/>
        <w:tblCellMar>
          <w:top w:w="0" w:type="dxa"/>
          <w:left w:w="0" w:type="dxa"/>
          <w:bottom w:w="0" w:type="dxa"/>
          <w:right w:w="0" w:type="dxa"/>
        </w:tblCellMar>
      </w:tblPr>
      <w:tblGrid>
        <w:gridCol w:w="3651"/>
        <w:gridCol w:w="60"/>
        <w:gridCol w:w="172"/>
        <w:gridCol w:w="1309"/>
        <w:gridCol w:w="110"/>
        <w:gridCol w:w="70"/>
        <w:gridCol w:w="180"/>
        <w:gridCol w:w="1359"/>
        <w:gridCol w:w="95"/>
        <w:gridCol w:w="60"/>
        <w:gridCol w:w="163"/>
        <w:gridCol w:w="1237"/>
        <w:gridCol w:w="105"/>
        <w:gridCol w:w="65"/>
        <w:gridCol w:w="170"/>
        <w:gridCol w:w="1283"/>
        <w:gridCol w:w="116"/>
      </w:tblGrid>
      <w:tr>
        <w:trPr/>
        <w:tc>
          <w:tcPr>
            <w:tcW w:w="36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1" w:name="xdx_491_20250401__20250630__srt--Restate"/>
            <w:bookmarkEnd w:id="231"/>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232" w:name="xdx_498_20250401__20250630_zlMW97OLqti9"/>
            <w:bookmarkEnd w:id="232"/>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3" w:name="xdx_497_20250101__20250630__srt--Restate"/>
            <w:bookmarkEnd w:id="233"/>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0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234" w:name="xdx_49B_20250101__20250630_zHrh1QuO9Vcl"/>
            <w:bookmarkEnd w:id="234"/>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6" w:type="dxa"/>
            <w:tcBorders/>
            <w:vAlign w:val="center"/>
          </w:tcPr>
          <w:p>
            <w:pPr>
              <w:pStyle w:val="TableContents"/>
              <w:bidi w:val="0"/>
              <w:spacing w:before="0" w:after="283"/>
              <w:jc w:val="left"/>
              <w:rPr/>
            </w:pPr>
            <w:r>
              <w:rPr/>
              <w:t> </w:t>
            </w:r>
          </w:p>
        </w:tc>
      </w:tr>
      <w:tr>
        <w:trPr/>
        <w:tc>
          <w:tcPr>
            <w:tcW w:w="36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6" w:type="dxa"/>
            <w:tcBorders/>
            <w:vAlign w:val="center"/>
          </w:tcPr>
          <w:p>
            <w:pPr>
              <w:pStyle w:val="TableContents"/>
              <w:bidi w:val="0"/>
              <w:spacing w:before="0" w:after="283"/>
              <w:jc w:val="left"/>
              <w:rPr/>
            </w:pPr>
            <w:r>
              <w:rPr/>
              <w:t> </w:t>
            </w:r>
          </w:p>
        </w:tc>
      </w:tr>
      <w:tr>
        <w:trPr/>
        <w:tc>
          <w:tcPr>
            <w:tcW w:w="36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1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0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6" w:type="dxa"/>
            <w:tcBorders/>
            <w:vAlign w:val="center"/>
          </w:tcPr>
          <w:p>
            <w:pPr>
              <w:pStyle w:val="TableContents"/>
              <w:bidi w:val="0"/>
              <w:spacing w:before="0" w:after="283"/>
              <w:jc w:val="left"/>
              <w:rPr/>
            </w:pPr>
            <w:r>
              <w:rPr/>
              <w:t> </w:t>
            </w:r>
            <w:bookmarkStart w:id="235" w:name="xdx_403_ecustom--ChangeInFairValueOfDeri"/>
            <w:bookmarkEnd w:id="235"/>
          </w:p>
        </w:tc>
      </w:tr>
      <w:tr>
        <w:trPr/>
        <w:tc>
          <w:tcPr>
            <w:tcW w:w="3651"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(194,526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(244,513</w:t>
            </w:r>
          </w:p>
        </w:tc>
        <w:tc>
          <w:tcPr>
            <w:tcW w:w="116" w:type="dxa"/>
            <w:tcBorders/>
            <w:shd w:fill="CCEEFF" w:val="clear"/>
            <w:vAlign w:val="center"/>
          </w:tcPr>
          <w:p>
            <w:pPr>
              <w:pStyle w:val="TableContents"/>
              <w:bidi w:val="0"/>
              <w:spacing w:before="0" w:after="283"/>
              <w:jc w:val="left"/>
              <w:rPr/>
            </w:pPr>
            <w:r>
              <w:rPr/>
              <w:t>)</w:t>
            </w:r>
          </w:p>
        </w:tc>
      </w:tr>
      <w:tr>
        <w:trPr/>
        <w:tc>
          <w:tcPr>
            <w:tcW w:w="3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36" w:name="xdx_40D_eus-gaap--NetIncomeLoss_zXshVqF7"/>
            <w:bookmarkEnd w:id="236"/>
          </w:p>
        </w:tc>
      </w:tr>
      <w:tr>
        <w:trPr/>
        <w:tc>
          <w:tcPr>
            <w:tcW w:w="3651" w:type="dxa"/>
            <w:tcBorders/>
            <w:shd w:fill="CCEEFF" w:val="clear"/>
            <w:vAlign w:val="center"/>
          </w:tcPr>
          <w:p>
            <w:pPr>
              <w:pStyle w:val="TableContents"/>
              <w:bidi w:val="0"/>
              <w:spacing w:before="0" w:after="283"/>
              <w:jc w:val="left"/>
              <w:rPr>
                <w:b/>
              </w:rPr>
            </w:pPr>
            <w:r>
              <w:rPr>
                <w:b/>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(4,788,735</w:t>
            </w:r>
          </w:p>
        </w:tc>
        <w:tc>
          <w:tcPr>
            <w:tcW w:w="110" w:type="dxa"/>
            <w:tcBorders/>
            <w:shd w:fill="CCEEFF" w:val="clear"/>
            <w:vAlign w:val="center"/>
          </w:tcPr>
          <w:p>
            <w:pPr>
              <w:pStyle w:val="TableContents"/>
              <w:bidi w:val="0"/>
              <w:spacing w:before="0" w:after="283"/>
              <w:jc w:val="lef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(4,983,261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(8,591,426</w:t>
            </w:r>
          </w:p>
        </w:tc>
        <w:tc>
          <w:tcPr>
            <w:tcW w:w="105"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(8,835,939</w:t>
            </w:r>
          </w:p>
        </w:tc>
        <w:tc>
          <w:tcPr>
            <w:tcW w:w="116" w:type="dxa"/>
            <w:tcBorders/>
            <w:shd w:fill="CCEEFF" w:val="clear"/>
            <w:vAlign w:val="center"/>
          </w:tcPr>
          <w:p>
            <w:pPr>
              <w:pStyle w:val="TableContents"/>
              <w:bidi w:val="0"/>
              <w:spacing w:before="0" w:after="283"/>
              <w:jc w:val="left"/>
              <w:rPr>
                <w:b/>
              </w:rPr>
            </w:pPr>
            <w:r>
              <w:rPr>
                <w:b/>
              </w:rPr>
              <w:t>)</w:t>
            </w:r>
          </w:p>
        </w:tc>
      </w:tr>
      <w:tr>
        <w:trPr/>
        <w:tc>
          <w:tcPr>
            <w:tcW w:w="3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651" w:type="dxa"/>
            <w:tcBorders/>
            <w:shd w:fill="CCEEFF" w:val="clear"/>
            <w:vAlign w:val="center"/>
          </w:tcPr>
          <w:p>
            <w:pPr>
              <w:pStyle w:val="TableContents"/>
              <w:bidi w:val="0"/>
              <w:spacing w:before="0" w:after="283"/>
              <w:jc w:val="left"/>
              <w:rPr/>
            </w:pPr>
            <w:r>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7" w:name="xdx_90C_eus-gaap--EarningsPerShareDilute"/>
            <w:bookmarkStart w:id="238" w:name="xdx_904_eus-gaap--EarningsPerShareBasic_"/>
            <w:bookmarkEnd w:id="237"/>
            <w:bookmarkEnd w:id="238"/>
            <w:r>
              <w:rPr/>
              <w:t>(1.09</w:t>
            </w:r>
          </w:p>
        </w:tc>
        <w:tc>
          <w:tcPr>
            <w:tcW w:w="110"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9" w:name="xdx_906_eus-gaap--EarningsPerShareDilute"/>
            <w:bookmarkStart w:id="240" w:name="xdx_90F_eus-gaap--EarningsPerShareBasic_"/>
            <w:bookmarkEnd w:id="239"/>
            <w:bookmarkEnd w:id="240"/>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41" w:name="xdx_905_eus-gaap--EarningsPerShareDilute"/>
            <w:bookmarkStart w:id="242" w:name="xdx_903_eus-gaap--EarningsPerShareBasic_"/>
            <w:bookmarkEnd w:id="241"/>
            <w:bookmarkEnd w:id="242"/>
            <w:r>
              <w:rPr/>
              <w:t>(2.14</w:t>
            </w:r>
          </w:p>
        </w:tc>
        <w:tc>
          <w:tcPr>
            <w:tcW w:w="10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43" w:name="xdx_907_eus-gaap--EarningsPerShareDilute"/>
            <w:bookmarkStart w:id="244" w:name="xdx_908_eus-gaap--EarningsPerShareBasic_"/>
            <w:bookmarkEnd w:id="243"/>
            <w:bookmarkEnd w:id="244"/>
            <w:r>
              <w:rPr/>
              <w:t>(2.20</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corrections to the Company’s statement of stockholders’ equity were as follows:</w:t>
      </w:r>
    </w:p>
    <w:p>
      <w:pPr>
        <w:pStyle w:val="TextBody"/>
        <w:bidi w:val="0"/>
        <w:spacing w:before="0" w:after="0"/>
        <w:ind w:left="72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5" w:name="xdx_300_134_zW6bNL4SMMW9"/>
      <w:bookmarkStart w:id="246" w:name="xdx_300_134_zW6bNL4SMMW9"/>
      <w:bookmarkEnd w:id="246"/>
    </w:p>
    <w:tbl>
      <w:tblPr>
        <w:tblW w:w="10205" w:type="dxa"/>
        <w:jc w:val="left"/>
        <w:tblInd w:w="0" w:type="dxa"/>
        <w:tblLayout w:type="fixed"/>
        <w:tblCellMar>
          <w:top w:w="0" w:type="dxa"/>
          <w:left w:w="0" w:type="dxa"/>
          <w:bottom w:w="0" w:type="dxa"/>
          <w:right w:w="0" w:type="dxa"/>
        </w:tblCellMar>
      </w:tblPr>
      <w:tblGrid>
        <w:gridCol w:w="1320"/>
        <w:gridCol w:w="60"/>
        <w:gridCol w:w="140"/>
        <w:gridCol w:w="1220"/>
        <w:gridCol w:w="60"/>
        <w:gridCol w:w="60"/>
        <w:gridCol w:w="140"/>
        <w:gridCol w:w="1221"/>
        <w:gridCol w:w="60"/>
        <w:gridCol w:w="60"/>
        <w:gridCol w:w="140"/>
        <w:gridCol w:w="1295"/>
        <w:gridCol w:w="95"/>
        <w:gridCol w:w="60"/>
        <w:gridCol w:w="140"/>
        <w:gridCol w:w="1295"/>
        <w:gridCol w:w="95"/>
        <w:gridCol w:w="60"/>
        <w:gridCol w:w="141"/>
        <w:gridCol w:w="1064"/>
        <w:gridCol w:w="95"/>
        <w:gridCol w:w="60"/>
        <w:gridCol w:w="141"/>
        <w:gridCol w:w="1069"/>
        <w:gridCol w:w="114"/>
      </w:tblGrid>
      <w:tr>
        <w:trPr/>
        <w:tc>
          <w:tcPr>
            <w:tcW w:w="1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7" w:name="xdx_4B3_us-gaap--StatementEquityComponen"/>
            <w:bookmarkEnd w:id="247"/>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8" w:name="xdx_4BC_us-gaap--StatementEquityComponen"/>
            <w:bookmarkEnd w:id="248"/>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9" w:name="xdx_4B2_us-gaap--StatementEquityComponen"/>
            <w:bookmarkEnd w:id="249"/>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 w:name="xdx_4BC_us-gaap--StatementEquityComponen"/>
            <w:bookmarkEnd w:id="250"/>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1" w:name="xdx_4B3_us-gaap--StatementEquityComponen"/>
            <w:bookmarkEnd w:id="251"/>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2" w:name="xdx_4BD_us-gaap--StatementEquityComponen"/>
            <w:bookmarkEnd w:id="252"/>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4"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Additional Paid-in-Capital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Stockholders’ Equity</w:t>
            </w:r>
          </w:p>
        </w:tc>
        <w:tc>
          <w:tcPr>
            <w:tcW w:w="114" w:type="dxa"/>
            <w:tcBorders/>
            <w:vAlign w:val="center"/>
          </w:tcPr>
          <w:p>
            <w:pPr>
              <w:pStyle w:val="TableContents"/>
              <w:bidi w:val="0"/>
              <w:spacing w:before="0" w:after="283"/>
              <w:jc w:val="left"/>
              <w:rPr/>
            </w:pPr>
            <w:r>
              <w:rPr/>
              <w:t> </w:t>
            </w:r>
          </w:p>
        </w:tc>
      </w:tr>
      <w:tr>
        <w:trPr/>
        <w:tc>
          <w:tcPr>
            <w:tcW w:w="1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4" w:type="dxa"/>
            <w:tcBorders/>
            <w:vAlign w:val="center"/>
          </w:tcPr>
          <w:p>
            <w:pPr>
              <w:pStyle w:val="TableContents"/>
              <w:bidi w:val="0"/>
              <w:spacing w:before="0" w:after="283"/>
              <w:jc w:val="left"/>
              <w:rPr/>
            </w:pPr>
            <w:r>
              <w:rPr/>
              <w:t> </w:t>
            </w:r>
            <w:bookmarkStart w:id="253" w:name="xdx_43D_c20250101__20250331_eus-gaap--St"/>
            <w:bookmarkEnd w:id="253"/>
          </w:p>
        </w:tc>
      </w:tr>
      <w:tr>
        <w:trPr/>
        <w:tc>
          <w:tcPr>
            <w:tcW w:w="1320"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115,944,345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117,380,285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(108,489,180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(109,925,120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7,455,505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7,455,505</w:t>
            </w:r>
          </w:p>
        </w:tc>
        <w:tc>
          <w:tcPr>
            <w:tcW w:w="114" w:type="dxa"/>
            <w:tcBorders/>
            <w:shd w:fill="CCEEFF" w:val="clear"/>
            <w:vAlign w:val="center"/>
          </w:tcPr>
          <w:p>
            <w:pPr>
              <w:pStyle w:val="TableContents"/>
              <w:bidi w:val="0"/>
              <w:spacing w:before="0" w:after="283"/>
              <w:jc w:val="left"/>
              <w:rPr/>
            </w:pPr>
            <w:r>
              <w:rPr/>
              <w:t> </w:t>
            </w:r>
          </w:p>
        </w:tc>
      </w:tr>
      <w:tr>
        <w:trPr/>
        <w:tc>
          <w:tcPr>
            <w:tcW w:w="1320" w:type="dxa"/>
            <w:tcBorders/>
            <w:shd w:fill="FFFFFF" w:val="clear"/>
            <w:vAlign w:val="center"/>
          </w:tcPr>
          <w:p>
            <w:pPr>
              <w:pStyle w:val="TableContents"/>
              <w:bidi w:val="0"/>
              <w:spacing w:before="0" w:after="283"/>
              <w:jc w:val="left"/>
              <w:rPr>
                <w:b/>
              </w:rPr>
            </w:pPr>
            <w:r>
              <w:rPr>
                <w:b/>
              </w:rPr>
              <w:t>Activity for the three months to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54" w:name="xdx_409_ecustom--StockIssuedDuringPeriod"/>
            <w:bookmarkEnd w:id="254"/>
          </w:p>
        </w:tc>
      </w:tr>
      <w:tr>
        <w:trPr/>
        <w:tc>
          <w:tcPr>
            <w:tcW w:w="132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49,987</w:t>
            </w:r>
          </w:p>
        </w:tc>
        <w:tc>
          <w:tcPr>
            <w:tcW w:w="114" w:type="dxa"/>
            <w:tcBorders/>
            <w:shd w:fill="CCEEFF" w:val="clear"/>
            <w:vAlign w:val="center"/>
          </w:tcPr>
          <w:p>
            <w:pPr>
              <w:pStyle w:val="TableContents"/>
              <w:bidi w:val="0"/>
              <w:spacing w:before="0" w:after="283"/>
              <w:jc w:val="left"/>
              <w:rPr/>
            </w:pPr>
            <w:r>
              <w:rPr/>
              <w:t> </w:t>
            </w:r>
            <w:bookmarkStart w:id="255" w:name="xdx_401_eus-gaap--NetIncomeLoss_zF7UD2k1"/>
            <w:bookmarkEnd w:id="255"/>
          </w:p>
        </w:tc>
      </w:tr>
      <w:tr>
        <w:trPr/>
        <w:tc>
          <w:tcPr>
            <w:tcW w:w="13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(3,802,691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(3,852,678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(3,802,691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(3,852,678</w:t>
            </w:r>
          </w:p>
        </w:tc>
        <w:tc>
          <w:tcPr>
            <w:tcW w:w="114" w:type="dxa"/>
            <w:tcBorders/>
            <w:shd w:fill="FFFFFF" w:val="clear"/>
            <w:vAlign w:val="center"/>
          </w:tcPr>
          <w:p>
            <w:pPr>
              <w:pStyle w:val="TableContents"/>
              <w:bidi w:val="0"/>
              <w:spacing w:before="0" w:after="283"/>
              <w:jc w:val="left"/>
              <w:rPr/>
            </w:pPr>
            <w:r>
              <w:rPr/>
              <w:t>)</w:t>
            </w:r>
            <w:bookmarkStart w:id="256" w:name="xdx_435_c20250401__20250630_eus-gaap--St"/>
            <w:bookmarkEnd w:id="256"/>
          </w:p>
        </w:tc>
      </w:tr>
      <w:tr>
        <w:trPr/>
        <w:tc>
          <w:tcPr>
            <w:tcW w:w="132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118,222,309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119,708,236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(112,291,871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(113,777,798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5,930,820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5,930,820</w:t>
            </w:r>
          </w:p>
        </w:tc>
        <w:tc>
          <w:tcPr>
            <w:tcW w:w="114" w:type="dxa"/>
            <w:tcBorders/>
            <w:shd w:fill="CCEEFF" w:val="clear"/>
            <w:vAlign w:val="center"/>
          </w:tcPr>
          <w:p>
            <w:pPr>
              <w:pStyle w:val="TableContents"/>
              <w:bidi w:val="0"/>
              <w:spacing w:before="0" w:after="283"/>
              <w:jc w:val="left"/>
              <w:rPr/>
            </w:pPr>
            <w:r>
              <w:rPr/>
              <w:t> </w:t>
            </w:r>
          </w:p>
        </w:tc>
      </w:tr>
      <w:tr>
        <w:trPr/>
        <w:tc>
          <w:tcPr>
            <w:tcW w:w="1320" w:type="dxa"/>
            <w:tcBorders/>
            <w:shd w:fill="FFFFFF" w:val="clear"/>
            <w:vAlign w:val="center"/>
          </w:tcPr>
          <w:p>
            <w:pPr>
              <w:pStyle w:val="TableContents"/>
              <w:bidi w:val="0"/>
              <w:spacing w:before="0" w:after="283"/>
              <w:jc w:val="left"/>
              <w:rPr>
                <w:b/>
              </w:rPr>
            </w:pPr>
            <w:r>
              <w:rPr>
                <w:b/>
              </w:rPr>
              <w:t>Activity for the three months to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57" w:name="xdx_409_ecustom--StockIssuedDuringPeriod"/>
            <w:bookmarkEnd w:id="257"/>
          </w:p>
        </w:tc>
      </w:tr>
      <w:tr>
        <w:trPr/>
        <w:tc>
          <w:tcPr>
            <w:tcW w:w="132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194,526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194,526</w:t>
            </w:r>
          </w:p>
        </w:tc>
        <w:tc>
          <w:tcPr>
            <w:tcW w:w="114" w:type="dxa"/>
            <w:tcBorders/>
            <w:shd w:fill="CCEEFF" w:val="clear"/>
            <w:vAlign w:val="center"/>
          </w:tcPr>
          <w:p>
            <w:pPr>
              <w:pStyle w:val="TableContents"/>
              <w:bidi w:val="0"/>
              <w:spacing w:before="0" w:after="283"/>
              <w:jc w:val="left"/>
              <w:rPr/>
            </w:pPr>
            <w:r>
              <w:rPr/>
              <w:t> </w:t>
            </w:r>
            <w:bookmarkStart w:id="258" w:name="xdx_401_eus-gaap--NetIncomeLoss_zUheuQRx"/>
            <w:bookmarkEnd w:id="258"/>
          </w:p>
        </w:tc>
      </w:tr>
      <w:tr>
        <w:trPr/>
        <w:tc>
          <w:tcPr>
            <w:tcW w:w="13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(4,788,735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(4,983,261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(4,788,735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(4,983,261</w:t>
            </w:r>
          </w:p>
        </w:tc>
        <w:tc>
          <w:tcPr>
            <w:tcW w:w="114" w:type="dxa"/>
            <w:tcBorders/>
            <w:shd w:fill="FFFFFF" w:val="clear"/>
            <w:vAlign w:val="center"/>
          </w:tcPr>
          <w:p>
            <w:pPr>
              <w:pStyle w:val="TableContents"/>
              <w:bidi w:val="0"/>
              <w:spacing w:before="0" w:after="283"/>
              <w:jc w:val="left"/>
              <w:rPr/>
            </w:pPr>
            <w:r>
              <w:rPr/>
              <w:t>)</w:t>
            </w:r>
            <w:bookmarkStart w:id="259" w:name="xdx_431_c20250401__20250630_eus-gaap--St"/>
            <w:bookmarkEnd w:id="259"/>
          </w:p>
        </w:tc>
      </w:tr>
      <w:tr>
        <w:trPr/>
        <w:tc>
          <w:tcPr>
            <w:tcW w:w="1320" w:type="dxa"/>
            <w:tcBorders/>
            <w:shd w:fill="CCEEFF" w:val="clear"/>
            <w:vAlign w:val="center"/>
          </w:tcPr>
          <w:p>
            <w:pPr>
              <w:pStyle w:val="TableContents"/>
              <w:bidi w:val="0"/>
              <w:spacing w:before="0" w:after="283"/>
              <w:jc w:val="left"/>
              <w:rPr>
                <w:b/>
              </w:rPr>
            </w:pPr>
            <w:r>
              <w:rPr>
                <w:b/>
              </w:rPr>
              <w:t>Balance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122,591,992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124,272,445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(117,080,606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(118,761,059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5,511,874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5,511,874</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corrections of the Company’s statement of cash flows were as follows:</w:t>
      </w:r>
    </w:p>
    <w:p>
      <w:pPr>
        <w:pStyle w:val="TextBody"/>
        <w:bidi w:val="0"/>
        <w:spacing w:before="0" w:after="0"/>
        <w:ind w:left="72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0" w:name="xdx_304_112_zX4ImTX7k3s9"/>
      <w:bookmarkStart w:id="261" w:name="xdx_304_112_zX4ImTX7k3s9"/>
      <w:bookmarkEnd w:id="261"/>
    </w:p>
    <w:tbl>
      <w:tblPr>
        <w:tblW w:w="10205" w:type="dxa"/>
        <w:jc w:val="left"/>
        <w:tblInd w:w="0" w:type="dxa"/>
        <w:tblLayout w:type="fixed"/>
        <w:tblCellMar>
          <w:top w:w="0" w:type="dxa"/>
          <w:left w:w="0" w:type="dxa"/>
          <w:bottom w:w="0" w:type="dxa"/>
          <w:right w:w="0" w:type="dxa"/>
        </w:tblCellMar>
      </w:tblPr>
      <w:tblGrid>
        <w:gridCol w:w="6693"/>
        <w:gridCol w:w="60"/>
        <w:gridCol w:w="179"/>
        <w:gridCol w:w="1357"/>
        <w:gridCol w:w="111"/>
        <w:gridCol w:w="69"/>
        <w:gridCol w:w="189"/>
        <w:gridCol w:w="1433"/>
        <w:gridCol w:w="114"/>
      </w:tblGrid>
      <w:tr>
        <w:trPr/>
        <w:tc>
          <w:tcPr>
            <w:tcW w:w="6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2" w:name="xdx_49A_20250101__20250630__srt--Restate"/>
            <w:bookmarkEnd w:id="262"/>
          </w:p>
        </w:tc>
        <w:tc>
          <w:tcPr>
            <w:tcW w:w="1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263" w:name="xdx_492_20250101__20250630_zTuvU7dkuwV8"/>
            <w:bookmarkEnd w:id="263"/>
          </w:p>
        </w:tc>
        <w:tc>
          <w:tcPr>
            <w:tcW w:w="16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4" w:type="dxa"/>
            <w:tcBorders/>
            <w:vAlign w:val="center"/>
          </w:tcPr>
          <w:p>
            <w:pPr>
              <w:pStyle w:val="TableContents"/>
              <w:bidi w:val="0"/>
              <w:spacing w:before="0" w:after="283"/>
              <w:jc w:val="left"/>
              <w:rPr/>
            </w:pPr>
            <w:r>
              <w:rPr/>
              <w:t> </w:t>
            </w:r>
          </w:p>
        </w:tc>
      </w:tr>
      <w:tr>
        <w:trPr/>
        <w:tc>
          <w:tcPr>
            <w:tcW w:w="6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4" w:type="dxa"/>
            <w:tcBorders/>
            <w:vAlign w:val="center"/>
          </w:tcPr>
          <w:p>
            <w:pPr>
              <w:pStyle w:val="TableContents"/>
              <w:bidi w:val="0"/>
              <w:spacing w:before="0" w:after="283"/>
              <w:jc w:val="left"/>
              <w:rPr/>
            </w:pPr>
            <w:r>
              <w:rPr/>
              <w:t> </w:t>
            </w:r>
          </w:p>
        </w:tc>
      </w:tr>
      <w:tr>
        <w:trPr/>
        <w:tc>
          <w:tcPr>
            <w:tcW w:w="6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Corrected</w:t>
            </w:r>
          </w:p>
        </w:tc>
        <w:tc>
          <w:tcPr>
            <w:tcW w:w="114" w:type="dxa"/>
            <w:tcBorders/>
            <w:vAlign w:val="center"/>
          </w:tcPr>
          <w:p>
            <w:pPr>
              <w:pStyle w:val="TableContents"/>
              <w:bidi w:val="0"/>
              <w:spacing w:before="0" w:after="283"/>
              <w:jc w:val="left"/>
              <w:rPr/>
            </w:pPr>
            <w:r>
              <w:rPr/>
              <w:t> </w:t>
            </w:r>
            <w:bookmarkStart w:id="264" w:name="xdx_40E_eus-gaap--NetCashProvidedByUsedI"/>
            <w:bookmarkEnd w:id="264"/>
          </w:p>
        </w:tc>
      </w:tr>
      <w:tr>
        <w:trPr/>
        <w:tc>
          <w:tcPr>
            <w:tcW w:w="6693"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65" w:name="xdx_40D_eus-gaap--NetIncomeLoss_i01_zS4f"/>
            <w:bookmarkEnd w:id="265"/>
          </w:p>
        </w:tc>
      </w:tr>
      <w:tr>
        <w:trPr/>
        <w:tc>
          <w:tcPr>
            <w:tcW w:w="669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357" w:type="dxa"/>
            <w:tcBorders/>
            <w:shd w:fill="FFFFFF" w:val="clear"/>
            <w:vAlign w:val="center"/>
          </w:tcPr>
          <w:p>
            <w:pPr>
              <w:pStyle w:val="TableContents"/>
              <w:bidi w:val="0"/>
              <w:spacing w:before="0" w:after="283"/>
              <w:jc w:val="right"/>
              <w:rPr/>
            </w:pPr>
            <w:r>
              <w:rPr/>
              <w:t>(8,591,426</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33" w:type="dxa"/>
            <w:tcBorders/>
            <w:shd w:fill="FFFFFF" w:val="clear"/>
            <w:vAlign w:val="center"/>
          </w:tcPr>
          <w:p>
            <w:pPr>
              <w:pStyle w:val="TableContents"/>
              <w:bidi w:val="0"/>
              <w:spacing w:before="0" w:after="283"/>
              <w:jc w:val="right"/>
              <w:rPr/>
            </w:pPr>
            <w:r>
              <w:rPr/>
              <w:t>(8,835,939</w:t>
            </w:r>
          </w:p>
        </w:tc>
        <w:tc>
          <w:tcPr>
            <w:tcW w:w="114" w:type="dxa"/>
            <w:tcBorders/>
            <w:shd w:fill="FFFFFF" w:val="clear"/>
            <w:vAlign w:val="center"/>
          </w:tcPr>
          <w:p>
            <w:pPr>
              <w:pStyle w:val="TableContents"/>
              <w:bidi w:val="0"/>
              <w:spacing w:before="0" w:after="283"/>
              <w:jc w:val="left"/>
              <w:rPr/>
            </w:pPr>
            <w:r>
              <w:rPr/>
              <w:t>)</w:t>
            </w:r>
            <w:bookmarkStart w:id="266" w:name="xdx_40F_eus-gaap--AdjustmentsToReconcile"/>
            <w:bookmarkEnd w:id="266"/>
          </w:p>
        </w:tc>
      </w:tr>
      <w:tr>
        <w:trPr/>
        <w:tc>
          <w:tcPr>
            <w:tcW w:w="6693"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67" w:name="xdx_404_ecustom--ChangeInFairValueOfDeri"/>
            <w:bookmarkEnd w:id="267"/>
          </w:p>
        </w:tc>
      </w:tr>
      <w:tr>
        <w:trPr/>
        <w:tc>
          <w:tcPr>
            <w:tcW w:w="6693"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FFFFFF" w:val="clear"/>
            <w:tcMar>
              <w:bottom w:w="28" w:type="dxa"/>
            </w:tcMar>
            <w:vAlign w:val="center"/>
          </w:tcPr>
          <w:p>
            <w:pPr>
              <w:pStyle w:val="TableContents"/>
              <w:bidi w:val="0"/>
              <w:spacing w:before="0" w:after="283"/>
              <w:jc w:val="right"/>
              <w:rPr/>
            </w:pPr>
            <w:r>
              <w:rPr/>
              <w:t>244,513</w:t>
            </w:r>
          </w:p>
        </w:tc>
        <w:tc>
          <w:tcPr>
            <w:tcW w:w="114" w:type="dxa"/>
            <w:tcBorders/>
            <w:shd w:fill="FFFFFF" w:val="clear"/>
            <w:vAlign w:val="center"/>
          </w:tcPr>
          <w:p>
            <w:pPr>
              <w:pStyle w:val="TableContents"/>
              <w:bidi w:val="0"/>
              <w:spacing w:before="0" w:after="283"/>
              <w:jc w:val="left"/>
              <w:rPr/>
            </w:pPr>
            <w:r>
              <w:rPr/>
              <w:t> </w:t>
            </w:r>
            <w:bookmarkStart w:id="268" w:name="xdx_40E_eus-gaap--NetCashProvidedByUsedI"/>
            <w:bookmarkEnd w:id="268"/>
          </w:p>
        </w:tc>
      </w:tr>
      <w:tr>
        <w:trPr/>
        <w:tc>
          <w:tcPr>
            <w:tcW w:w="669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(9,403,539</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(9,403,539</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69" w:name="xdx_8A6_zgpKToIPAmxb"/>
      <w:bookmarkEnd w:id="2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0" w:name="xdx_84F_eus-gaap--SegmentReportingPolicy"/>
      <w:bookmarkEnd w:id="270"/>
      <w:r>
        <w:rPr>
          <w:rFonts w:ascii="Times New Roman;Times;Serif" w:hAnsi="Times New Roman;Times;Serif"/>
          <w:b/>
          <w:i w:val="false"/>
          <w:caps w:val="false"/>
          <w:smallCaps w:val="false"/>
          <w:sz w:val="20"/>
        </w:rPr>
        <w:t xml:space="preserve">(h) </w:t>
      </w:r>
      <w:bookmarkStart w:id="271" w:name="xdx_867_zWHDrJDof3A8"/>
      <w:bookmarkEnd w:id="271"/>
      <w:r>
        <w:rPr>
          <w:rFonts w:ascii="Times New Roman;Times;Serif" w:hAnsi="Times New Roman;Times;Serif"/>
          <w:b/>
          <w:i w:val="false"/>
          <w:caps w:val="false"/>
          <w:smallCaps w:val="false"/>
          <w:sz w:val="20"/>
        </w:rPr>
        <w:t>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defined as components of an enterprise for which discrete financial information is available and regularly reviewed by the chief operating decision maker (CODM) in deciding how to allocate resources and in assessing performance. The Company manages its business activities on a consolidated basis and operates as a </w:t>
      </w:r>
      <w:bookmarkStart w:id="272" w:name="xdx_908_eus-gaap--NumberOfReportableSegm"/>
      <w:bookmarkStart w:id="273" w:name="xdx_901_eus-gaap--NumberOfOperatingSegme"/>
      <w:bookmarkEnd w:id="272"/>
      <w:bookmarkEnd w:id="273"/>
      <w:r>
        <w:rPr>
          <w:rFonts w:ascii="Times New Roman;Times;Serif" w:hAnsi="Times New Roman;Times;Serif"/>
          <w:b w:val="false"/>
          <w:i w:val="false"/>
          <w:caps w:val="false"/>
          <w:smallCaps w:val="false"/>
          <w:sz w:val="20"/>
        </w:rPr>
        <w:t>1single operating segment dedicated to the research and development and manufacturing of its product candidates. The Company’s CODM is its Chief Executive Officer. The CODM uses net loss, as reported in the Company’s Consolidated Statements of Operations and Comprehensive Loss, in evaluating performance of its segment and determining how to allocate resources of the Company as a whole, including investing in its research and development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used by the CODM for segment assets is reported in the Consolidated Balance Sheets as total consolidated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74" w:name="xdx_89A_eus-gaap--ScheduleOfSegmentRepor"/>
      <w:bookmarkEnd w:id="274"/>
      <w:r>
        <w:rPr>
          <w:rFonts w:ascii="Times New Roman;Times;Serif" w:hAnsi="Times New Roman;Times;Serif"/>
          <w:b w:val="false"/>
          <w:i w:val="false"/>
          <w:caps w:val="false"/>
          <w:smallCaps w:val="false"/>
          <w:sz w:val="20"/>
        </w:rPr>
        <w:t>The following table presents the operating results of the Company’s segment:</w:t>
      </w:r>
    </w:p>
    <w:p>
      <w:pPr>
        <w:pStyle w:val="TextBody"/>
        <w:bidi w:val="0"/>
        <w:spacing w:before="0" w:after="0"/>
        <w:ind w:left="1440" w:right="0" w:hanging="0"/>
        <w:jc w:val="both"/>
        <w:rPr>
          <w:caps w:val="false"/>
          <w:smallCaps w:val="false"/>
        </w:rPr>
      </w:pPr>
      <w:r>
        <w:rPr>
          <w:caps w:val="false"/>
          <w:smallCaps w:val="false"/>
        </w:rPr>
        <w:t> </w:t>
      </w:r>
      <w:bookmarkStart w:id="275" w:name="xdx_8B8_zlviXqF9Rixj"/>
      <w:bookmarkEnd w:id="275"/>
      <w:r>
        <w:rPr>
          <w:rFonts w:ascii="Times New Roman;Times;Serif" w:hAnsi="Times New Roman;Times;Serif"/>
          <w:b w:val="false"/>
          <w:i w:val="false"/>
          <w:caps w:val="false"/>
          <w:smallCaps w:val="false"/>
          <w:sz w:val="20"/>
        </w:rPr>
        <w:t>Schedule of Operating Results of Company’s Segment</w:t>
      </w:r>
    </w:p>
    <w:tbl>
      <w:tblPr>
        <w:tblW w:w="10068" w:type="dxa"/>
        <w:jc w:val="left"/>
        <w:tblInd w:w="0" w:type="dxa"/>
        <w:tblLayout w:type="fixed"/>
        <w:tblCellMar>
          <w:top w:w="0" w:type="dxa"/>
          <w:left w:w="0" w:type="dxa"/>
          <w:bottom w:w="28" w:type="dxa"/>
          <w:right w:w="0" w:type="dxa"/>
        </w:tblCellMar>
      </w:tblPr>
      <w:tblGrid>
        <w:gridCol w:w="3800"/>
        <w:gridCol w:w="60"/>
        <w:gridCol w:w="171"/>
        <w:gridCol w:w="1295"/>
        <w:gridCol w:w="116"/>
        <w:gridCol w:w="73"/>
        <w:gridCol w:w="171"/>
        <w:gridCol w:w="1295"/>
        <w:gridCol w:w="95"/>
        <w:gridCol w:w="60"/>
        <w:gridCol w:w="148"/>
        <w:gridCol w:w="1245"/>
        <w:gridCol w:w="100"/>
        <w:gridCol w:w="63"/>
        <w:gridCol w:w="148"/>
        <w:gridCol w:w="1118"/>
        <w:gridCol w:w="110"/>
      </w:tblGrid>
      <w:tr>
        <w:trPr/>
        <w:tc>
          <w:tcPr>
            <w:tcW w:w="3800" w:type="dxa"/>
            <w:tcBorders>
              <w:bottom w:val="single" w:sz="8" w:space="0" w:color="000000"/>
            </w:tcBorders>
            <w:vAlign w:val="center"/>
          </w:tcPr>
          <w:p>
            <w:pPr>
              <w:pStyle w:val="TableContents"/>
              <w:bidi w:val="0"/>
              <w:spacing w:before="0" w:after="283"/>
              <w:jc w:val="left"/>
              <w:rPr>
                <w:b/>
              </w:rPr>
            </w:pPr>
            <w:r>
              <w:rPr>
                <w:b/>
              </w:rPr>
              <w:t>Operating expenses:</w:t>
            </w:r>
          </w:p>
        </w:tc>
        <w:tc>
          <w:tcPr>
            <w:tcW w:w="60" w:type="dxa"/>
            <w:tcBorders/>
            <w:tcMar>
              <w:bottom w:w="0" w:type="dxa"/>
            </w:tcMar>
            <w:vAlign w:val="center"/>
          </w:tcPr>
          <w:p>
            <w:pPr>
              <w:pStyle w:val="TableContents"/>
              <w:bidi w:val="0"/>
              <w:spacing w:before="0" w:after="283"/>
              <w:jc w:val="left"/>
              <w:rPr/>
            </w:pPr>
            <w:r>
              <w:rPr/>
              <w:t> </w:t>
            </w:r>
            <w:bookmarkStart w:id="276" w:name="xdx_494_20260401__20260630_zJZGUVTXv2f6"/>
            <w:bookmarkEnd w:id="276"/>
          </w:p>
        </w:tc>
        <w:tc>
          <w:tcPr>
            <w:tcW w:w="1466" w:type="dxa"/>
            <w:gridSpan w:val="2"/>
            <w:tcBorders>
              <w:bottom w:val="single" w:sz="8" w:space="0" w:color="000000"/>
            </w:tcBorders>
            <w:vAlign w:val="center"/>
          </w:tcPr>
          <w:p>
            <w:pPr>
              <w:pStyle w:val="TableContents"/>
              <w:bidi w:val="0"/>
              <w:spacing w:before="0" w:after="283"/>
              <w:jc w:val="center"/>
              <w:rPr>
                <w:b/>
              </w:rPr>
            </w:pPr>
            <w:r>
              <w:rPr>
                <w:b/>
              </w:rPr>
              <w:t>2026</w:t>
            </w:r>
          </w:p>
        </w:tc>
        <w:tc>
          <w:tcPr>
            <w:tcW w:w="116"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bookmarkStart w:id="277" w:name="xdx_490_20250401__20250630_zOmfs9eEw4xa"/>
            <w:bookmarkEnd w:id="277"/>
          </w:p>
        </w:tc>
        <w:tc>
          <w:tcPr>
            <w:tcW w:w="1466"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78" w:name="xdx_494_20260101__20260630_zXipE7vll4me"/>
            <w:bookmarkEnd w:id="278"/>
          </w:p>
        </w:tc>
        <w:tc>
          <w:tcPr>
            <w:tcW w:w="1393" w:type="dxa"/>
            <w:gridSpan w:val="2"/>
            <w:tcBorders>
              <w:bottom w:val="single" w:sz="8" w:space="0" w:color="000000"/>
            </w:tcBorders>
            <w:vAlign w:val="center"/>
          </w:tcPr>
          <w:p>
            <w:pPr>
              <w:pStyle w:val="TableContents"/>
              <w:bidi w:val="0"/>
              <w:spacing w:before="0" w:after="283"/>
              <w:jc w:val="center"/>
              <w:rPr>
                <w:b/>
              </w:rPr>
            </w:pPr>
            <w:r>
              <w:rPr>
                <w:b/>
              </w:rPr>
              <w:t>2026</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bookmarkStart w:id="279" w:name="xdx_490_20250101__20250630_zms6sgP9HGqh"/>
            <w:bookmarkEnd w:id="279"/>
          </w:p>
        </w:tc>
        <w:tc>
          <w:tcPr>
            <w:tcW w:w="1266"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1"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2" w:type="dxa"/>
            <w:gridSpan w:val="6"/>
            <w:tcBorders>
              <w:bottom w:val="single" w:sz="8" w:space="0" w:color="000000"/>
            </w:tcBorders>
            <w:vAlign w:val="center"/>
          </w:tcPr>
          <w:p>
            <w:pPr>
              <w:pStyle w:val="TableContents"/>
              <w:bidi w:val="0"/>
              <w:spacing w:before="0" w:after="283"/>
              <w:jc w:val="center"/>
              <w:rPr>
                <w:b/>
              </w:rPr>
            </w:pPr>
            <w:r>
              <w:rPr>
                <w:b/>
              </w:rPr>
              <w:t>Six Months Ended June 30,</w:t>
            </w:r>
          </w:p>
        </w:tc>
        <w:tc>
          <w:tcPr>
            <w:tcW w:w="110" w:type="dxa"/>
            <w:tcBorders/>
            <w:tcMar>
              <w:bottom w:w="0" w:type="dxa"/>
            </w:tcMar>
            <w:vAlign w:val="center"/>
          </w:tcPr>
          <w:p>
            <w:pPr>
              <w:pStyle w:val="TableContents"/>
              <w:bidi w:val="0"/>
              <w:spacing w:before="0" w:after="283"/>
              <w:jc w:val="left"/>
              <w:rPr/>
            </w:pPr>
            <w:r>
              <w:rPr/>
              <w:t> </w:t>
            </w:r>
            <w:bookmarkStart w:id="280" w:name="xdx_409_eus-gaap--OperatingExpensesAbstr"/>
            <w:bookmarkEnd w:id="280"/>
          </w:p>
        </w:tc>
      </w:tr>
      <w:tr>
        <w:trPr/>
        <w:tc>
          <w:tcPr>
            <w:tcW w:w="3800" w:type="dxa"/>
            <w:tcBorders>
              <w:bottom w:val="single" w:sz="8" w:space="0" w:color="000000"/>
            </w:tcBorders>
            <w:vAlign w:val="center"/>
          </w:tcPr>
          <w:p>
            <w:pPr>
              <w:pStyle w:val="TableContents"/>
              <w:bidi w:val="0"/>
              <w:spacing w:before="0" w:after="283"/>
              <w:jc w:val="left"/>
              <w:rPr>
                <w:b/>
              </w:rPr>
            </w:pPr>
            <w:r>
              <w:rPr>
                <w:b/>
              </w:rPr>
              <w:t>Operating expenses:</w:t>
            </w:r>
          </w:p>
        </w:tc>
        <w:tc>
          <w:tcPr>
            <w:tcW w:w="60" w:type="dxa"/>
            <w:tcBorders/>
            <w:tcMar>
              <w:bottom w:w="0" w:type="dxa"/>
            </w:tcMar>
            <w:vAlign w:val="center"/>
          </w:tcPr>
          <w:p>
            <w:pPr>
              <w:pStyle w:val="TableContents"/>
              <w:bidi w:val="0"/>
              <w:spacing w:before="0" w:after="283"/>
              <w:jc w:val="left"/>
              <w:rPr/>
            </w:pPr>
            <w:r>
              <w:rPr/>
              <w:t> </w:t>
            </w:r>
          </w:p>
        </w:tc>
        <w:tc>
          <w:tcPr>
            <w:tcW w:w="1466" w:type="dxa"/>
            <w:gridSpan w:val="2"/>
            <w:tcBorders>
              <w:bottom w:val="single" w:sz="8" w:space="0" w:color="000000"/>
            </w:tcBorders>
            <w:vAlign w:val="center"/>
          </w:tcPr>
          <w:p>
            <w:pPr>
              <w:pStyle w:val="TableContents"/>
              <w:bidi w:val="0"/>
              <w:spacing w:before="0" w:after="283"/>
              <w:jc w:val="center"/>
              <w:rPr>
                <w:b/>
              </w:rPr>
            </w:pPr>
            <w:r>
              <w:rPr>
                <w:b/>
              </w:rPr>
              <w:t>2026</w:t>
            </w:r>
          </w:p>
        </w:tc>
        <w:tc>
          <w:tcPr>
            <w:tcW w:w="116" w:type="dxa"/>
            <w:tcBorders/>
            <w:tcMar>
              <w:bottom w:w="0" w:type="dxa"/>
            </w:tcMar>
            <w:vAlign w:val="center"/>
          </w:tcPr>
          <w:p>
            <w:pPr>
              <w:pStyle w:val="TableContents"/>
              <w:bidi w:val="0"/>
              <w:spacing w:before="0" w:after="283"/>
              <w:jc w:val="left"/>
              <w:rPr/>
            </w:pPr>
            <w:r>
              <w:rPr/>
              <w:t> </w:t>
            </w:r>
          </w:p>
        </w:tc>
        <w:tc>
          <w:tcPr>
            <w:tcW w:w="73" w:type="dxa"/>
            <w:tcBorders/>
            <w:tcMar>
              <w:bottom w:w="0" w:type="dxa"/>
            </w:tcMar>
            <w:vAlign w:val="center"/>
          </w:tcPr>
          <w:p>
            <w:pPr>
              <w:pStyle w:val="TableContents"/>
              <w:bidi w:val="0"/>
              <w:spacing w:before="0" w:after="283"/>
              <w:jc w:val="left"/>
              <w:rPr/>
            </w:pPr>
            <w:r>
              <w:rPr/>
              <w:t> </w:t>
            </w:r>
          </w:p>
        </w:tc>
        <w:tc>
          <w:tcPr>
            <w:tcW w:w="1466"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3" w:type="dxa"/>
            <w:gridSpan w:val="2"/>
            <w:tcBorders>
              <w:bottom w:val="single" w:sz="8" w:space="0" w:color="000000"/>
            </w:tcBorders>
            <w:vAlign w:val="center"/>
          </w:tcPr>
          <w:p>
            <w:pPr>
              <w:pStyle w:val="TableContents"/>
              <w:bidi w:val="0"/>
              <w:spacing w:before="0" w:after="283"/>
              <w:jc w:val="center"/>
              <w:rPr>
                <w:b/>
              </w:rPr>
            </w:pPr>
            <w:r>
              <w:rPr>
                <w:b/>
              </w:rPr>
              <w:t>2026</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266"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bookmarkStart w:id="281" w:name="xdx_403_eus-gaap--ResearchAndDevelopment"/>
            <w:bookmarkEnd w:id="281"/>
          </w:p>
        </w:tc>
      </w:tr>
      <w:tr>
        <w:trPr/>
        <w:tc>
          <w:tcPr>
            <w:tcW w:w="380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82" w:name="xdx_407_eus-gaap--ResearchAndDevelopment"/>
            <w:bookmarkEnd w:id="282"/>
          </w:p>
        </w:tc>
      </w:tr>
      <w:tr>
        <w:trPr/>
        <w:tc>
          <w:tcPr>
            <w:tcW w:w="3800" w:type="dxa"/>
            <w:tcBorders/>
            <w:shd w:fill="FFFFFF" w:val="clear"/>
            <w:tcMar>
              <w:bottom w:w="0" w:type="dxa"/>
            </w:tcMar>
            <w:vAlign w:val="center"/>
          </w:tcPr>
          <w:p>
            <w:pPr>
              <w:pStyle w:val="TableContents"/>
              <w:bidi w:val="0"/>
              <w:spacing w:before="0" w:after="283"/>
              <w:jc w:val="left"/>
              <w:rPr/>
            </w:pPr>
            <w:r>
              <w:rPr/>
              <w:t>Clinical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36,619</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w:t>
            </w:r>
          </w:p>
        </w:tc>
        <w:tc>
          <w:tcPr>
            <w:tcW w:w="1295" w:type="dxa"/>
            <w:tcBorders/>
            <w:shd w:fill="FFFFFF" w:val="clear"/>
            <w:tcMar>
              <w:bottom w:w="0" w:type="dxa"/>
            </w:tcMar>
            <w:vAlign w:val="center"/>
          </w:tcPr>
          <w:p>
            <w:pPr>
              <w:pStyle w:val="TableContents"/>
              <w:bidi w:val="0"/>
              <w:spacing w:before="0" w:after="283"/>
              <w:jc w:val="right"/>
              <w:rPr/>
            </w:pPr>
            <w:r>
              <w:rPr/>
              <w:t>763,860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w:t>
            </w:r>
          </w:p>
        </w:tc>
        <w:tc>
          <w:tcPr>
            <w:tcW w:w="1245" w:type="dxa"/>
            <w:tcBorders/>
            <w:shd w:fill="FFFFFF" w:val="clear"/>
            <w:tcMar>
              <w:bottom w:w="0" w:type="dxa"/>
            </w:tcMar>
            <w:vAlign w:val="center"/>
          </w:tcPr>
          <w:p>
            <w:pPr>
              <w:pStyle w:val="TableContents"/>
              <w:bidi w:val="0"/>
              <w:spacing w:before="0" w:after="283"/>
              <w:jc w:val="right"/>
              <w:rPr/>
            </w:pPr>
            <w:r>
              <w:rPr/>
              <w:t>90,397</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w:t>
            </w:r>
          </w:p>
        </w:tc>
        <w:tc>
          <w:tcPr>
            <w:tcW w:w="1118" w:type="dxa"/>
            <w:tcBorders/>
            <w:shd w:fill="FFFFFF" w:val="clear"/>
            <w:tcMar>
              <w:bottom w:w="0" w:type="dxa"/>
            </w:tcMar>
            <w:vAlign w:val="center"/>
          </w:tcPr>
          <w:p>
            <w:pPr>
              <w:pStyle w:val="TableContents"/>
              <w:bidi w:val="0"/>
              <w:spacing w:before="0" w:after="283"/>
              <w:jc w:val="right"/>
              <w:rPr/>
            </w:pPr>
            <w:r>
              <w:rPr/>
              <w:t>1,871,334</w:t>
            </w:r>
          </w:p>
        </w:tc>
        <w:tc>
          <w:tcPr>
            <w:tcW w:w="110" w:type="dxa"/>
            <w:tcBorders/>
            <w:shd w:fill="FFFFFF" w:val="clear"/>
            <w:tcMar>
              <w:bottom w:w="0" w:type="dxa"/>
            </w:tcMar>
            <w:vAlign w:val="center"/>
          </w:tcPr>
          <w:p>
            <w:pPr>
              <w:pStyle w:val="TableContents"/>
              <w:bidi w:val="0"/>
              <w:spacing w:before="0" w:after="283"/>
              <w:jc w:val="left"/>
              <w:rPr/>
            </w:pPr>
            <w:r>
              <w:rPr/>
              <w:t> </w:t>
            </w:r>
            <w:bookmarkStart w:id="283" w:name="xdx_40D_eus-gaap--ResearchAndDevelopment"/>
            <w:bookmarkEnd w:id="283"/>
          </w:p>
        </w:tc>
      </w:tr>
      <w:tr>
        <w:trPr/>
        <w:tc>
          <w:tcPr>
            <w:tcW w:w="3800" w:type="dxa"/>
            <w:tcBorders/>
            <w:shd w:fill="CCEEFF" w:val="clear"/>
            <w:tcMar>
              <w:bottom w:w="0" w:type="dxa"/>
            </w:tcMar>
            <w:vAlign w:val="center"/>
          </w:tcPr>
          <w:p>
            <w:pPr>
              <w:pStyle w:val="TableContents"/>
              <w:bidi w:val="0"/>
              <w:spacing w:before="0" w:after="283"/>
              <w:jc w:val="left"/>
              <w:rPr/>
            </w:pPr>
            <w:r>
              <w:rPr/>
              <w:t>Drug manufacturing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909,471</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1,110,084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2,076,208</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1,490,437</w:t>
            </w:r>
          </w:p>
        </w:tc>
        <w:tc>
          <w:tcPr>
            <w:tcW w:w="110" w:type="dxa"/>
            <w:tcBorders/>
            <w:shd w:fill="CCEEFF" w:val="clear"/>
            <w:tcMar>
              <w:bottom w:w="0" w:type="dxa"/>
            </w:tcMar>
            <w:vAlign w:val="center"/>
          </w:tcPr>
          <w:p>
            <w:pPr>
              <w:pStyle w:val="TableContents"/>
              <w:bidi w:val="0"/>
              <w:spacing w:before="0" w:after="283"/>
              <w:jc w:val="left"/>
              <w:rPr/>
            </w:pPr>
            <w:r>
              <w:rPr/>
              <w:t> </w:t>
            </w:r>
            <w:bookmarkStart w:id="284" w:name="xdx_401_eus-gaap--ResearchAndDevelopment"/>
            <w:bookmarkEnd w:id="284"/>
          </w:p>
        </w:tc>
      </w:tr>
      <w:tr>
        <w:trPr/>
        <w:tc>
          <w:tcPr>
            <w:tcW w:w="3800" w:type="dxa"/>
            <w:tcBorders/>
            <w:shd w:fill="FFFFFF" w:val="clear"/>
            <w:tcMar>
              <w:bottom w:w="0" w:type="dxa"/>
            </w:tcMar>
            <w:vAlign w:val="center"/>
          </w:tcPr>
          <w:p>
            <w:pPr>
              <w:pStyle w:val="TableContents"/>
              <w:bidi w:val="0"/>
              <w:spacing w:before="0" w:after="283"/>
              <w:jc w:val="left"/>
              <w:rPr/>
            </w:pPr>
            <w:r>
              <w:rPr/>
              <w:t>Personnel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585,096</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409,220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1,356,528</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970,554</w:t>
            </w:r>
          </w:p>
        </w:tc>
        <w:tc>
          <w:tcPr>
            <w:tcW w:w="110" w:type="dxa"/>
            <w:tcBorders/>
            <w:shd w:fill="FFFFFF" w:val="clear"/>
            <w:tcMar>
              <w:bottom w:w="0" w:type="dxa"/>
            </w:tcMar>
            <w:vAlign w:val="center"/>
          </w:tcPr>
          <w:p>
            <w:pPr>
              <w:pStyle w:val="TableContents"/>
              <w:bidi w:val="0"/>
              <w:spacing w:before="0" w:after="283"/>
              <w:jc w:val="left"/>
              <w:rPr/>
            </w:pPr>
            <w:r>
              <w:rPr/>
              <w:t> </w:t>
            </w:r>
            <w:bookmarkStart w:id="285" w:name="xdx_400_ecustom--ResearchAndDevelopmentE"/>
            <w:bookmarkEnd w:id="285"/>
          </w:p>
        </w:tc>
      </w:tr>
      <w:tr>
        <w:trPr/>
        <w:tc>
          <w:tcPr>
            <w:tcW w:w="3800" w:type="dxa"/>
            <w:tcBorders/>
            <w:shd w:fill="CCEEFF" w:val="clear"/>
            <w:tcMar>
              <w:bottom w:w="0" w:type="dxa"/>
            </w:tcMar>
            <w:vAlign w:val="center"/>
          </w:tcPr>
          <w:p>
            <w:pPr>
              <w:pStyle w:val="TableContents"/>
              <w:bidi w:val="0"/>
              <w:spacing w:before="0" w:after="283"/>
              <w:jc w:val="left"/>
              <w:rPr/>
            </w:pPr>
            <w:r>
              <w:rPr/>
              <w:t>Regulatory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(44,361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417,775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245" w:type="dxa"/>
            <w:tcBorders>
              <w:bottom w:val="single" w:sz="8" w:space="0" w:color="000000"/>
            </w:tcBorders>
            <w:shd w:fill="CCEEFF" w:val="clear"/>
            <w:vAlign w:val="center"/>
          </w:tcPr>
          <w:p>
            <w:pPr>
              <w:pStyle w:val="TableContents"/>
              <w:bidi w:val="0"/>
              <w:spacing w:before="0" w:after="283"/>
              <w:jc w:val="right"/>
              <w:rPr/>
            </w:pPr>
            <w:r>
              <w:rPr/>
              <w:t>148,010</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591,240</w:t>
            </w:r>
          </w:p>
        </w:tc>
        <w:tc>
          <w:tcPr>
            <w:tcW w:w="110" w:type="dxa"/>
            <w:tcBorders/>
            <w:shd w:fill="CCEEFF" w:val="clear"/>
            <w:tcMar>
              <w:bottom w:w="0" w:type="dxa"/>
            </w:tcMar>
            <w:vAlign w:val="center"/>
          </w:tcPr>
          <w:p>
            <w:pPr>
              <w:pStyle w:val="TableContents"/>
              <w:bidi w:val="0"/>
              <w:spacing w:before="0" w:after="283"/>
              <w:jc w:val="left"/>
              <w:rPr/>
            </w:pPr>
            <w:r>
              <w:rPr/>
              <w:t> </w:t>
            </w:r>
            <w:bookmarkStart w:id="286" w:name="xdx_407_eus-gaap--ResearchAndDevelopment"/>
            <w:bookmarkEnd w:id="286"/>
          </w:p>
        </w:tc>
      </w:tr>
      <w:tr>
        <w:trPr/>
        <w:tc>
          <w:tcPr>
            <w:tcW w:w="3800" w:type="dxa"/>
            <w:tcBorders/>
            <w:shd w:fill="FFFFFF" w:val="clear"/>
            <w:tcMar>
              <w:bottom w:w="0" w:type="dxa"/>
            </w:tcMar>
            <w:vAlign w:val="center"/>
          </w:tcPr>
          <w:p>
            <w:pPr>
              <w:pStyle w:val="TableContents"/>
              <w:bidi w:val="0"/>
              <w:spacing w:before="0" w:after="283"/>
              <w:jc w:val="left"/>
              <w:rPr/>
            </w:pPr>
            <w:r>
              <w:rPr/>
              <w:t>Total 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1,486,825</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2,700,939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3,671,143</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4,923,565</w:t>
            </w:r>
          </w:p>
        </w:tc>
        <w:tc>
          <w:tcPr>
            <w:tcW w:w="110" w:type="dxa"/>
            <w:tcBorders/>
            <w:shd w:fill="FFFFFF" w:val="clear"/>
            <w:tcMar>
              <w:bottom w:w="0" w:type="dxa"/>
            </w:tcMar>
            <w:vAlign w:val="center"/>
          </w:tcPr>
          <w:p>
            <w:pPr>
              <w:pStyle w:val="TableContents"/>
              <w:bidi w:val="0"/>
              <w:spacing w:before="0" w:after="283"/>
              <w:jc w:val="left"/>
              <w:rPr/>
            </w:pPr>
            <w:r>
              <w:rPr/>
              <w:t> </w:t>
            </w:r>
            <w:bookmarkStart w:id="287" w:name="xdx_402_eus-gaap--SellingGeneralAndAdmin"/>
            <w:bookmarkEnd w:id="287"/>
          </w:p>
        </w:tc>
      </w:tr>
      <w:tr>
        <w:trPr/>
        <w:tc>
          <w:tcPr>
            <w:tcW w:w="3800"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88" w:name="xdx_402_eus-gaap--GeneralAndAdministrati"/>
            <w:bookmarkEnd w:id="288"/>
          </w:p>
        </w:tc>
      </w:tr>
      <w:tr>
        <w:trPr/>
        <w:tc>
          <w:tcPr>
            <w:tcW w:w="3800" w:type="dxa"/>
            <w:tcBorders/>
            <w:shd w:fill="FFFFFF" w:val="clear"/>
            <w:tcMar>
              <w:bottom w:w="0" w:type="dxa"/>
            </w:tcMar>
            <w:vAlign w:val="center"/>
          </w:tcPr>
          <w:p>
            <w:pPr>
              <w:pStyle w:val="TableContents"/>
              <w:bidi w:val="0"/>
              <w:spacing w:before="0" w:after="283"/>
              <w:jc w:val="left"/>
              <w:rPr/>
            </w:pPr>
            <w:r>
              <w:rPr/>
              <w:t>Pre-commercialization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1,687,919</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98,850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5,213,238</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110,850</w:t>
            </w:r>
          </w:p>
        </w:tc>
        <w:tc>
          <w:tcPr>
            <w:tcW w:w="110" w:type="dxa"/>
            <w:tcBorders/>
            <w:shd w:fill="FFFFFF" w:val="clear"/>
            <w:tcMar>
              <w:bottom w:w="0" w:type="dxa"/>
            </w:tcMar>
            <w:vAlign w:val="center"/>
          </w:tcPr>
          <w:p>
            <w:pPr>
              <w:pStyle w:val="TableContents"/>
              <w:bidi w:val="0"/>
              <w:spacing w:before="0" w:after="283"/>
              <w:jc w:val="left"/>
              <w:rPr/>
            </w:pPr>
            <w:r>
              <w:rPr/>
              <w:t> </w:t>
            </w:r>
            <w:bookmarkStart w:id="289" w:name="xdx_401_eus-gaap--GeneralAndAdministrati"/>
            <w:bookmarkEnd w:id="289"/>
          </w:p>
        </w:tc>
      </w:tr>
      <w:tr>
        <w:trPr/>
        <w:tc>
          <w:tcPr>
            <w:tcW w:w="3800" w:type="dxa"/>
            <w:tcBorders/>
            <w:shd w:fill="CCEEFF" w:val="clear"/>
            <w:tcMar>
              <w:bottom w:w="0" w:type="dxa"/>
            </w:tcMar>
            <w:vAlign w:val="center"/>
          </w:tcPr>
          <w:p>
            <w:pPr>
              <w:pStyle w:val="TableContents"/>
              <w:bidi w:val="0"/>
              <w:spacing w:before="0" w:after="283"/>
              <w:jc w:val="left"/>
              <w:rPr/>
            </w:pPr>
            <w:r>
              <w:rPr/>
              <w:t>Personnel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868,974</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459,336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1,985,184</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1,030,866</w:t>
            </w:r>
          </w:p>
        </w:tc>
        <w:tc>
          <w:tcPr>
            <w:tcW w:w="110" w:type="dxa"/>
            <w:tcBorders/>
            <w:shd w:fill="CCEEFF" w:val="clear"/>
            <w:tcMar>
              <w:bottom w:w="0" w:type="dxa"/>
            </w:tcMar>
            <w:vAlign w:val="center"/>
          </w:tcPr>
          <w:p>
            <w:pPr>
              <w:pStyle w:val="TableContents"/>
              <w:bidi w:val="0"/>
              <w:spacing w:before="0" w:after="283"/>
              <w:jc w:val="left"/>
              <w:rPr/>
            </w:pPr>
            <w:r>
              <w:rPr/>
              <w:t> </w:t>
            </w:r>
            <w:bookmarkStart w:id="290" w:name="xdx_40E_eus-gaap--GeneralAndAdministrati"/>
            <w:bookmarkEnd w:id="290"/>
          </w:p>
        </w:tc>
      </w:tr>
      <w:tr>
        <w:trPr/>
        <w:tc>
          <w:tcPr>
            <w:tcW w:w="3800" w:type="dxa"/>
            <w:tcBorders/>
            <w:shd w:fill="FFFFFF" w:val="clear"/>
            <w:tcMar>
              <w:bottom w:w="0" w:type="dxa"/>
            </w:tcMar>
            <w:vAlign w:val="center"/>
          </w:tcPr>
          <w:p>
            <w:pPr>
              <w:pStyle w:val="TableContents"/>
              <w:bidi w:val="0"/>
              <w:spacing w:before="0" w:after="283"/>
              <w:jc w:val="left"/>
              <w:rPr/>
            </w:pPr>
            <w:r>
              <w:rPr/>
              <w:t>Legal and professional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1,039,172</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968,987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1,708,102</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1,474,487</w:t>
            </w:r>
          </w:p>
        </w:tc>
        <w:tc>
          <w:tcPr>
            <w:tcW w:w="110" w:type="dxa"/>
            <w:tcBorders/>
            <w:shd w:fill="FFFFFF" w:val="clear"/>
            <w:tcMar>
              <w:bottom w:w="0" w:type="dxa"/>
            </w:tcMar>
            <w:vAlign w:val="center"/>
          </w:tcPr>
          <w:p>
            <w:pPr>
              <w:pStyle w:val="TableContents"/>
              <w:bidi w:val="0"/>
              <w:spacing w:before="0" w:after="283"/>
              <w:jc w:val="left"/>
              <w:rPr/>
            </w:pPr>
            <w:r>
              <w:rPr/>
              <w:t> </w:t>
            </w:r>
            <w:bookmarkStart w:id="291" w:name="xdx_403_eus-gaap--GeneralAndAdministrati"/>
            <w:bookmarkEnd w:id="291"/>
          </w:p>
        </w:tc>
      </w:tr>
      <w:tr>
        <w:trPr/>
        <w:tc>
          <w:tcPr>
            <w:tcW w:w="3800" w:type="dxa"/>
            <w:tcBorders/>
            <w:shd w:fill="CCEEFF" w:val="clear"/>
            <w:tcMar>
              <w:bottom w:w="0" w:type="dxa"/>
            </w:tcMar>
            <w:vAlign w:val="center"/>
          </w:tcPr>
          <w:p>
            <w:pPr>
              <w:pStyle w:val="TableContents"/>
              <w:bidi w:val="0"/>
              <w:spacing w:before="0" w:after="283"/>
              <w:jc w:val="left"/>
              <w:rPr/>
            </w:pPr>
            <w:r>
              <w:rPr/>
              <w:t>Occupancy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46,536</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88,359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140,380</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149,986</w:t>
            </w:r>
          </w:p>
        </w:tc>
        <w:tc>
          <w:tcPr>
            <w:tcW w:w="110" w:type="dxa"/>
            <w:tcBorders/>
            <w:shd w:fill="CCEEFF" w:val="clear"/>
            <w:tcMar>
              <w:bottom w:w="0" w:type="dxa"/>
            </w:tcMar>
            <w:vAlign w:val="center"/>
          </w:tcPr>
          <w:p>
            <w:pPr>
              <w:pStyle w:val="TableContents"/>
              <w:bidi w:val="0"/>
              <w:spacing w:before="0" w:after="283"/>
              <w:jc w:val="left"/>
              <w:rPr/>
            </w:pPr>
            <w:r>
              <w:rPr/>
              <w:t> </w:t>
            </w:r>
            <w:bookmarkStart w:id="292" w:name="xdx_40F_eus-gaap--GeneralAndAdministrati"/>
            <w:bookmarkEnd w:id="292"/>
          </w:p>
        </w:tc>
      </w:tr>
      <w:tr>
        <w:trPr/>
        <w:tc>
          <w:tcPr>
            <w:tcW w:w="3800" w:type="dxa"/>
            <w:tcBorders/>
            <w:shd w:fill="FFFFFF" w:val="clear"/>
            <w:tcMar>
              <w:bottom w:w="0" w:type="dxa"/>
            </w:tcMar>
            <w:vAlign w:val="center"/>
          </w:tcPr>
          <w:p>
            <w:pPr>
              <w:pStyle w:val="TableContents"/>
              <w:bidi w:val="0"/>
              <w:spacing w:before="0" w:after="283"/>
              <w:jc w:val="left"/>
              <w:rPr/>
            </w:pPr>
            <w:r>
              <w:rPr/>
              <w:t>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149,506</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174,449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299,012</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370,045</w:t>
            </w:r>
          </w:p>
        </w:tc>
        <w:tc>
          <w:tcPr>
            <w:tcW w:w="110" w:type="dxa"/>
            <w:tcBorders/>
            <w:shd w:fill="FFFFFF" w:val="clear"/>
            <w:tcMar>
              <w:bottom w:w="0" w:type="dxa"/>
            </w:tcMar>
            <w:vAlign w:val="center"/>
          </w:tcPr>
          <w:p>
            <w:pPr>
              <w:pStyle w:val="TableContents"/>
              <w:bidi w:val="0"/>
              <w:spacing w:before="0" w:after="283"/>
              <w:jc w:val="left"/>
              <w:rPr/>
            </w:pPr>
            <w:r>
              <w:rPr/>
              <w:t> </w:t>
            </w:r>
            <w:bookmarkStart w:id="293" w:name="xdx_40A_eus-gaap--GeneralAndAdministrati"/>
            <w:bookmarkEnd w:id="293"/>
          </w:p>
        </w:tc>
      </w:tr>
      <w:tr>
        <w:trPr/>
        <w:tc>
          <w:tcPr>
            <w:tcW w:w="3800" w:type="dxa"/>
            <w:tcBorders/>
            <w:shd w:fill="CCEEFF" w:val="clear"/>
            <w:tcMar>
              <w:bottom w:w="0" w:type="dxa"/>
            </w:tcMar>
            <w:vAlign w:val="center"/>
          </w:tcPr>
          <w:p>
            <w:pPr>
              <w:pStyle w:val="TableContents"/>
              <w:bidi w:val="0"/>
              <w:spacing w:before="0" w:after="283"/>
              <w:jc w:val="left"/>
              <w:rPr/>
            </w:pPr>
            <w:r>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136,043</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159,054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245" w:type="dxa"/>
            <w:tcBorders>
              <w:bottom w:val="single" w:sz="8" w:space="0" w:color="000000"/>
            </w:tcBorders>
            <w:shd w:fill="CCEEFF" w:val="clear"/>
            <w:vAlign w:val="center"/>
          </w:tcPr>
          <w:p>
            <w:pPr>
              <w:pStyle w:val="TableContents"/>
              <w:bidi w:val="0"/>
              <w:spacing w:before="0" w:after="283"/>
              <w:jc w:val="right"/>
              <w:rPr/>
            </w:pPr>
            <w:r>
              <w:rPr/>
              <w:t>321,138</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296,210</w:t>
            </w:r>
          </w:p>
        </w:tc>
        <w:tc>
          <w:tcPr>
            <w:tcW w:w="110" w:type="dxa"/>
            <w:tcBorders/>
            <w:shd w:fill="CCEEFF" w:val="clear"/>
            <w:tcMar>
              <w:bottom w:w="0" w:type="dxa"/>
            </w:tcMar>
            <w:vAlign w:val="center"/>
          </w:tcPr>
          <w:p>
            <w:pPr>
              <w:pStyle w:val="TableContents"/>
              <w:bidi w:val="0"/>
              <w:spacing w:before="0" w:after="283"/>
              <w:jc w:val="left"/>
              <w:rPr/>
            </w:pPr>
            <w:r>
              <w:rPr/>
              <w:t> </w:t>
            </w:r>
            <w:bookmarkStart w:id="294" w:name="xdx_40E_eus-gaap--SellingGeneralAndAdmin"/>
            <w:bookmarkEnd w:id="294"/>
          </w:p>
        </w:tc>
      </w:tr>
      <w:tr>
        <w:trPr/>
        <w:tc>
          <w:tcPr>
            <w:tcW w:w="3800" w:type="dxa"/>
            <w:tcBorders/>
            <w:shd w:fill="FFFFFF" w:val="clear"/>
            <w:tcMar>
              <w:bottom w:w="0" w:type="dxa"/>
            </w:tcMar>
            <w:vAlign w:val="center"/>
          </w:tcPr>
          <w:p>
            <w:pPr>
              <w:pStyle w:val="TableContents"/>
              <w:bidi w:val="0"/>
              <w:spacing w:before="0" w:after="283"/>
              <w:jc w:val="left"/>
              <w:rPr/>
            </w:pPr>
            <w:r>
              <w:rPr/>
              <w:t>Total 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3,928,150</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1,949,035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9,667,054</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3,432,444</w:t>
            </w:r>
          </w:p>
        </w:tc>
        <w:tc>
          <w:tcPr>
            <w:tcW w:w="110" w:type="dxa"/>
            <w:tcBorders/>
            <w:shd w:fill="FFFFFF" w:val="clear"/>
            <w:tcMar>
              <w:bottom w:w="0" w:type="dxa"/>
            </w:tcMar>
            <w:vAlign w:val="center"/>
          </w:tcPr>
          <w:p>
            <w:pPr>
              <w:pStyle w:val="TableContents"/>
              <w:bidi w:val="0"/>
              <w:spacing w:before="0" w:after="283"/>
              <w:jc w:val="left"/>
              <w:rPr/>
            </w:pPr>
            <w:r>
              <w:rPr/>
              <w:t> </w:t>
            </w:r>
            <w:bookmarkStart w:id="295" w:name="xdx_40B_eus-gaap--OperatingIncomeLoss_i0"/>
            <w:bookmarkEnd w:id="295"/>
          </w:p>
        </w:tc>
      </w:tr>
      <w:tr>
        <w:trPr/>
        <w:tc>
          <w:tcPr>
            <w:tcW w:w="3800" w:type="dxa"/>
            <w:tcBorders/>
            <w:shd w:fill="CCEEFF" w:val="clear"/>
            <w:tcMar>
              <w:bottom w:w="0" w:type="dxa"/>
            </w:tcMar>
            <w:vAlign w:val="center"/>
          </w:tcPr>
          <w:p>
            <w:pPr>
              <w:pStyle w:val="TableContents"/>
              <w:bidi w:val="0"/>
              <w:spacing w:before="0" w:after="283"/>
              <w:jc w:val="left"/>
              <w:rPr>
                <w:b/>
              </w:rPr>
            </w:pPr>
            <w:r>
              <w:rPr>
                <w:b/>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(5,414,975</w:t>
            </w:r>
          </w:p>
        </w:tc>
        <w:tc>
          <w:tcPr>
            <w:tcW w:w="116" w:type="dxa"/>
            <w:tcBorders/>
            <w:shd w:fill="CCEEFF" w:val="clear"/>
            <w:tcMar>
              <w:bottom w:w="0" w:type="dxa"/>
            </w:tcMar>
            <w:vAlign w:val="center"/>
          </w:tcPr>
          <w:p>
            <w:pPr>
              <w:pStyle w:val="TableContents"/>
              <w:bidi w:val="0"/>
              <w:spacing w:before="0" w:after="283"/>
              <w:jc w:val="left"/>
              <w:rPr/>
            </w:pPr>
            <w:r>
              <w:rPr/>
              <w:t>)</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(4,649,974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(13,338,197</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(8,356,009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8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296" w:name="xdx_407_ecustom--ChangeInFairValueOfDeri"/>
            <w:bookmarkEnd w:id="296"/>
          </w:p>
        </w:tc>
      </w:tr>
      <w:tr>
        <w:trPr/>
        <w:tc>
          <w:tcPr>
            <w:tcW w:w="3800" w:type="dxa"/>
            <w:tcBorders/>
            <w:shd w:fill="CCEEFF" w:val="clear"/>
            <w:tcMar>
              <w:bottom w:w="0" w:type="dxa"/>
            </w:tcMar>
            <w:vAlign w:val="center"/>
          </w:tcPr>
          <w:p>
            <w:pPr>
              <w:pStyle w:val="TableContents"/>
              <w:bidi w:val="0"/>
              <w:spacing w:before="0" w:after="283"/>
              <w:jc w:val="left"/>
              <w:rPr/>
            </w:pPr>
            <w:r>
              <w:rPr/>
              <w:t>Change in fair value of derivative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(314,013</w:t>
            </w:r>
          </w:p>
        </w:tc>
        <w:tc>
          <w:tcPr>
            <w:tcW w:w="116" w:type="dxa"/>
            <w:tcBorders/>
            <w:shd w:fill="CCEEFF" w:val="clear"/>
            <w:tcMar>
              <w:bottom w:w="0" w:type="dxa"/>
            </w:tcMar>
            <w:vAlign w:val="center"/>
          </w:tcPr>
          <w:p>
            <w:pPr>
              <w:pStyle w:val="TableContents"/>
              <w:bidi w:val="0"/>
              <w:spacing w:before="0" w:after="283"/>
              <w:jc w:val="left"/>
              <w:rPr/>
            </w:pPr>
            <w:r>
              <w:rPr/>
              <w:t>)</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(194,526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(1,166,043</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(244,513</w:t>
            </w:r>
          </w:p>
        </w:tc>
        <w:tc>
          <w:tcPr>
            <w:tcW w:w="110" w:type="dxa"/>
            <w:tcBorders/>
            <w:shd w:fill="CCEEFF" w:val="clear"/>
            <w:tcMar>
              <w:bottom w:w="0" w:type="dxa"/>
            </w:tcMar>
            <w:vAlign w:val="center"/>
          </w:tcPr>
          <w:p>
            <w:pPr>
              <w:pStyle w:val="TableContents"/>
              <w:bidi w:val="0"/>
              <w:spacing w:before="0" w:after="283"/>
              <w:jc w:val="left"/>
              <w:rPr/>
            </w:pPr>
            <w:r>
              <w:rPr/>
              <w:t>)</w:t>
            </w:r>
            <w:bookmarkStart w:id="297" w:name="xdx_40B_eus-gaap--InterestIncomeExpenseN"/>
            <w:bookmarkEnd w:id="297"/>
          </w:p>
        </w:tc>
      </w:tr>
      <w:tr>
        <w:trPr/>
        <w:tc>
          <w:tcPr>
            <w:tcW w:w="3800" w:type="dxa"/>
            <w:tcBorders/>
            <w:shd w:fill="FFFFFF" w:val="clear"/>
            <w:tcMar>
              <w:bottom w:w="0" w:type="dxa"/>
            </w:tcMar>
            <w:vAlign w:val="center"/>
          </w:tcPr>
          <w:p>
            <w:pPr>
              <w:pStyle w:val="TableContents"/>
              <w:bidi w:val="0"/>
              <w:spacing w:before="0" w:after="283"/>
              <w:jc w:val="left"/>
              <w:rPr/>
            </w:pPr>
            <w:r>
              <w:rPr/>
              <w:t>Interest and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295" w:type="dxa"/>
            <w:tcBorders>
              <w:bottom w:val="single" w:sz="8" w:space="0" w:color="000000"/>
            </w:tcBorders>
            <w:shd w:fill="FFFFFF" w:val="clear"/>
            <w:vAlign w:val="center"/>
          </w:tcPr>
          <w:p>
            <w:pPr>
              <w:pStyle w:val="TableContents"/>
              <w:bidi w:val="0"/>
              <w:spacing w:before="0" w:after="283"/>
              <w:jc w:val="right"/>
              <w:rPr/>
            </w:pPr>
            <w:r>
              <w:rPr/>
              <w:t>(141,276</w:t>
            </w:r>
          </w:p>
        </w:tc>
        <w:tc>
          <w:tcPr>
            <w:tcW w:w="116" w:type="dxa"/>
            <w:tcBorders/>
            <w:shd w:fill="FFFFFF" w:val="clear"/>
            <w:tcMar>
              <w:bottom w:w="0" w:type="dxa"/>
            </w:tcMar>
            <w:vAlign w:val="center"/>
          </w:tcPr>
          <w:p>
            <w:pPr>
              <w:pStyle w:val="TableContents"/>
              <w:bidi w:val="0"/>
              <w:spacing w:before="0" w:after="283"/>
              <w:jc w:val="left"/>
              <w:rPr/>
            </w:pPr>
            <w:r>
              <w:rPr/>
              <w:t>)</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295" w:type="dxa"/>
            <w:tcBorders>
              <w:bottom w:val="single" w:sz="8" w:space="0" w:color="000000"/>
            </w:tcBorders>
            <w:shd w:fill="FFFFFF" w:val="clear"/>
            <w:vAlign w:val="center"/>
          </w:tcPr>
          <w:p>
            <w:pPr>
              <w:pStyle w:val="TableContents"/>
              <w:bidi w:val="0"/>
              <w:spacing w:before="0" w:after="283"/>
              <w:jc w:val="right"/>
              <w:rPr/>
            </w:pPr>
            <w:r>
              <w:rPr/>
              <w:t>(138,761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FFFFFF" w:val="clear"/>
            <w:vAlign w:val="center"/>
          </w:tcPr>
          <w:p>
            <w:pPr>
              <w:pStyle w:val="TableContents"/>
              <w:bidi w:val="0"/>
              <w:spacing w:before="0" w:after="283"/>
              <w:jc w:val="left"/>
              <w:rPr/>
            </w:pPr>
            <w:r>
              <w:rPr/>
              <w:t> </w:t>
            </w:r>
          </w:p>
        </w:tc>
        <w:tc>
          <w:tcPr>
            <w:tcW w:w="1245" w:type="dxa"/>
            <w:tcBorders>
              <w:bottom w:val="single" w:sz="8" w:space="0" w:color="000000"/>
            </w:tcBorders>
            <w:shd w:fill="FFFFFF" w:val="clear"/>
            <w:vAlign w:val="center"/>
          </w:tcPr>
          <w:p>
            <w:pPr>
              <w:pStyle w:val="TableContents"/>
              <w:bidi w:val="0"/>
              <w:spacing w:before="0" w:after="283"/>
              <w:jc w:val="right"/>
              <w:rPr/>
            </w:pPr>
            <w:r>
              <w:rPr/>
              <w:t>(678,113</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FFFFFF" w:val="clear"/>
            <w:vAlign w:val="center"/>
          </w:tcPr>
          <w:p>
            <w:pPr>
              <w:pStyle w:val="TableContents"/>
              <w:bidi w:val="0"/>
              <w:spacing w:before="0" w:after="283"/>
              <w:jc w:val="left"/>
              <w:rPr/>
            </w:pPr>
            <w:r>
              <w:rPr/>
              <w:t> </w:t>
            </w:r>
          </w:p>
        </w:tc>
        <w:tc>
          <w:tcPr>
            <w:tcW w:w="1118" w:type="dxa"/>
            <w:tcBorders>
              <w:bottom w:val="single" w:sz="8" w:space="0" w:color="000000"/>
            </w:tcBorders>
            <w:shd w:fill="FFFFFF" w:val="clear"/>
            <w:vAlign w:val="center"/>
          </w:tcPr>
          <w:p>
            <w:pPr>
              <w:pStyle w:val="TableContents"/>
              <w:bidi w:val="0"/>
              <w:spacing w:before="0" w:after="283"/>
              <w:jc w:val="right"/>
              <w:rPr/>
            </w:pPr>
            <w:r>
              <w:rPr/>
              <w:t>(235,417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8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98" w:name="xdx_40A_eus-gaap--IncomeLossFromContinui"/>
            <w:bookmarkEnd w:id="298"/>
          </w:p>
        </w:tc>
      </w:tr>
      <w:tr>
        <w:trPr/>
        <w:tc>
          <w:tcPr>
            <w:tcW w:w="3800"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(5,870,264</w:t>
            </w:r>
          </w:p>
        </w:tc>
        <w:tc>
          <w:tcPr>
            <w:tcW w:w="116" w:type="dxa"/>
            <w:tcBorders/>
            <w:shd w:fill="FFFFFF" w:val="clear"/>
            <w:tcMar>
              <w:bottom w:w="0" w:type="dxa"/>
            </w:tcMar>
            <w:vAlign w:val="center"/>
          </w:tcPr>
          <w:p>
            <w:pPr>
              <w:pStyle w:val="TableContents"/>
              <w:bidi w:val="0"/>
              <w:spacing w:before="0" w:after="283"/>
              <w:jc w:val="left"/>
              <w:rPr/>
            </w:pPr>
            <w:r>
              <w:rPr/>
              <w:t>)</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(4,983,261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(15,182,353</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(8,835,939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8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99" w:name="xdx_404_eus-gaap--IncomeTaxExpenseBenefi"/>
            <w:bookmarkEnd w:id="299"/>
          </w:p>
        </w:tc>
      </w:tr>
      <w:tr>
        <w:trPr/>
        <w:tc>
          <w:tcPr>
            <w:tcW w:w="3800" w:type="dxa"/>
            <w:tcBorders/>
            <w:shd w:fill="FFFFFF" w:val="clear"/>
            <w:tcMar>
              <w:bottom w:w="0" w:type="dxa"/>
            </w:tcMar>
            <w:vAlign w:val="center"/>
          </w:tcPr>
          <w:p>
            <w:pPr>
              <w:pStyle w:val="TableContents"/>
              <w:bidi w:val="0"/>
              <w:spacing w:before="0" w:after="283"/>
              <w:jc w:val="left"/>
              <w:rPr/>
            </w:pPr>
            <w:r>
              <w:rPr/>
              <w:t>Income tax benefit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w:t>
            </w:r>
          </w:p>
        </w:tc>
        <w:tc>
          <w:tcPr>
            <w:tcW w:w="116"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95" w:type="dxa"/>
            <w:tcBorders>
              <w:bottom w:val="single" w:sz="8"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245" w:type="dxa"/>
            <w:tcBorders>
              <w:bottom w:val="single" w:sz="8" w:space="0" w:color="000000"/>
            </w:tcBorders>
            <w:shd w:fill="CCEEFF" w:val="clear"/>
            <w:vAlign w:val="center"/>
          </w:tcPr>
          <w:p>
            <w:pPr>
              <w:pStyle w:val="TableContents"/>
              <w:bidi w:val="0"/>
              <w:spacing w:before="0" w:after="283"/>
              <w:jc w:val="righ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300" w:name="xdx_406_eus-gaap--NetIncomeLoss_iT_mtNIL"/>
            <w:bookmarkEnd w:id="300"/>
          </w:p>
        </w:tc>
      </w:tr>
      <w:tr>
        <w:trPr/>
        <w:tc>
          <w:tcPr>
            <w:tcW w:w="3800" w:type="dxa"/>
            <w:tcBorders/>
            <w:shd w:fill="FFFFFF" w:val="clear"/>
            <w:tcMar>
              <w:bottom w:w="0" w:type="dxa"/>
            </w:tcMar>
            <w:vAlign w:val="center"/>
          </w:tcPr>
          <w:p>
            <w:pPr>
              <w:pStyle w:val="TableContents"/>
              <w:bidi w:val="0"/>
              <w:spacing w:before="0" w:after="283"/>
              <w:jc w:val="left"/>
              <w:rPr>
                <w:b/>
              </w:rPr>
            </w:pPr>
            <w:r>
              <w:rPr>
                <w:b/>
              </w:rPr>
              <w:t>Net loss and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vAlign w:val="center"/>
          </w:tcPr>
          <w:p>
            <w:pPr>
              <w:pStyle w:val="TableContents"/>
              <w:bidi w:val="0"/>
              <w:spacing w:before="0" w:after="283"/>
              <w:jc w:val="left"/>
              <w:rPr/>
            </w:pPr>
            <w:r>
              <w:rPr/>
              <w:t>$</w:t>
            </w:r>
          </w:p>
        </w:tc>
        <w:tc>
          <w:tcPr>
            <w:tcW w:w="1295" w:type="dxa"/>
            <w:tcBorders>
              <w:bottom w:val="double" w:sz="6" w:space="0" w:color="000000"/>
            </w:tcBorders>
            <w:shd w:fill="FFFFFF" w:val="clear"/>
            <w:vAlign w:val="center"/>
          </w:tcPr>
          <w:p>
            <w:pPr>
              <w:pStyle w:val="TableContents"/>
              <w:bidi w:val="0"/>
              <w:spacing w:before="0" w:after="283"/>
              <w:jc w:val="right"/>
              <w:rPr/>
            </w:pPr>
            <w:r>
              <w:rPr/>
              <w:t>(5,870,264</w:t>
            </w:r>
          </w:p>
        </w:tc>
        <w:tc>
          <w:tcPr>
            <w:tcW w:w="116" w:type="dxa"/>
            <w:tcBorders/>
            <w:shd w:fill="FFFFFF" w:val="clear"/>
            <w:tcMar>
              <w:bottom w:w="0" w:type="dxa"/>
            </w:tcMar>
            <w:vAlign w:val="center"/>
          </w:tcPr>
          <w:p>
            <w:pPr>
              <w:pStyle w:val="TableContents"/>
              <w:bidi w:val="0"/>
              <w:spacing w:before="0" w:after="283"/>
              <w:jc w:val="left"/>
              <w:rPr/>
            </w:pPr>
            <w:r>
              <w:rPr/>
              <w:t>)</w:t>
            </w:r>
          </w:p>
        </w:tc>
        <w:tc>
          <w:tcPr>
            <w:tcW w:w="73"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vAlign w:val="center"/>
          </w:tcPr>
          <w:p>
            <w:pPr>
              <w:pStyle w:val="TableContents"/>
              <w:bidi w:val="0"/>
              <w:spacing w:before="0" w:after="283"/>
              <w:jc w:val="left"/>
              <w:rPr/>
            </w:pPr>
            <w:r>
              <w:rPr/>
              <w:t>$</w:t>
            </w:r>
          </w:p>
        </w:tc>
        <w:tc>
          <w:tcPr>
            <w:tcW w:w="1295" w:type="dxa"/>
            <w:tcBorders>
              <w:bottom w:val="double" w:sz="6" w:space="0" w:color="000000"/>
            </w:tcBorders>
            <w:shd w:fill="FFFFFF" w:val="clear"/>
            <w:vAlign w:val="center"/>
          </w:tcPr>
          <w:p>
            <w:pPr>
              <w:pStyle w:val="TableContents"/>
              <w:bidi w:val="0"/>
              <w:spacing w:before="0" w:after="283"/>
              <w:jc w:val="right"/>
              <w:rPr/>
            </w:pPr>
            <w:r>
              <w:rPr/>
              <w:t>(4,983,261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vAlign w:val="center"/>
          </w:tcPr>
          <w:p>
            <w:pPr>
              <w:pStyle w:val="TableContents"/>
              <w:bidi w:val="0"/>
              <w:spacing w:before="0" w:after="283"/>
              <w:jc w:val="left"/>
              <w:rPr/>
            </w:pPr>
            <w:r>
              <w:rPr/>
              <w:t>$</w:t>
            </w:r>
          </w:p>
        </w:tc>
        <w:tc>
          <w:tcPr>
            <w:tcW w:w="1245" w:type="dxa"/>
            <w:tcBorders>
              <w:bottom w:val="double" w:sz="6" w:space="0" w:color="000000"/>
            </w:tcBorders>
            <w:shd w:fill="FFFFFF" w:val="clear"/>
            <w:vAlign w:val="center"/>
          </w:tcPr>
          <w:p>
            <w:pPr>
              <w:pStyle w:val="TableContents"/>
              <w:bidi w:val="0"/>
              <w:spacing w:before="0" w:after="283"/>
              <w:jc w:val="right"/>
              <w:rPr/>
            </w:pPr>
            <w:r>
              <w:rPr/>
              <w:t>(15,182,353</w:t>
            </w:r>
          </w:p>
        </w:tc>
        <w:tc>
          <w:tcPr>
            <w:tcW w:w="100" w:type="dxa"/>
            <w:tcBorders/>
            <w:shd w:fill="FFFFFF" w:val="clear"/>
            <w:tcMar>
              <w:bottom w:w="0" w:type="dxa"/>
            </w:tcMar>
            <w:vAlign w:val="center"/>
          </w:tcPr>
          <w:p>
            <w:pPr>
              <w:pStyle w:val="TableContents"/>
              <w:bidi w:val="0"/>
              <w:spacing w:before="0" w:after="283"/>
              <w:jc w:val="left"/>
              <w:rPr/>
            </w:pPr>
            <w:r>
              <w:rPr/>
              <w:t>)</w:t>
            </w:r>
          </w:p>
        </w:tc>
        <w:tc>
          <w:tcPr>
            <w:tcW w:w="63"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vAlign w:val="center"/>
          </w:tcPr>
          <w:p>
            <w:pPr>
              <w:pStyle w:val="TableContents"/>
              <w:bidi w:val="0"/>
              <w:spacing w:before="0" w:after="283"/>
              <w:jc w:val="left"/>
              <w:rPr/>
            </w:pPr>
            <w:r>
              <w:rPr/>
              <w:t>$</w:t>
            </w:r>
          </w:p>
        </w:tc>
        <w:tc>
          <w:tcPr>
            <w:tcW w:w="1118" w:type="dxa"/>
            <w:tcBorders>
              <w:bottom w:val="double" w:sz="6" w:space="0" w:color="000000"/>
            </w:tcBorders>
            <w:shd w:fill="FFFFFF" w:val="clear"/>
            <w:vAlign w:val="center"/>
          </w:tcPr>
          <w:p>
            <w:pPr>
              <w:pStyle w:val="TableContents"/>
              <w:bidi w:val="0"/>
              <w:spacing w:before="0" w:after="283"/>
              <w:jc w:val="right"/>
              <w:rPr/>
            </w:pPr>
            <w:r>
              <w:rPr/>
              <w:t>(8,835,939</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440" w:right="0" w:hanging="0"/>
        <w:jc w:val="both"/>
        <w:rPr>
          <w:caps w:val="false"/>
          <w:smallCaps w:val="false"/>
        </w:rPr>
      </w:pPr>
      <w:bookmarkStart w:id="301" w:name="xdx_8A9_zJVrwyAMkcD6"/>
      <w:bookmarkEnd w:id="30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2" w:name="xdx_803_ecustom--PrepaidExpensesAndOther"/>
      <w:bookmarkEnd w:id="302"/>
      <w:r>
        <w:rPr>
          <w:rFonts w:ascii="Times New Roman;Times;Serif" w:hAnsi="Times New Roman;Times;Serif"/>
          <w:b/>
          <w:i w:val="false"/>
          <w:caps w:val="false"/>
          <w:smallCaps w:val="false"/>
          <w:sz w:val="20"/>
        </w:rPr>
        <w:t xml:space="preserve">(3) </w:t>
      </w:r>
      <w:bookmarkStart w:id="303" w:name="xdx_821_zKgmawp8ucvi"/>
      <w:bookmarkEnd w:id="303"/>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4" w:name="xdx_897_eus-gaap--DeferredCostsCapitaliz"/>
      <w:bookmarkEnd w:id="304"/>
      <w:r>
        <w:rPr>
          <w:rFonts w:ascii="Times New Roman;Times;Serif" w:hAnsi="Times New Roman;Times;Serif"/>
          <w:b w:val="false"/>
          <w:i w:val="false"/>
          <w:caps w:val="false"/>
          <w:smallCaps w:val="false"/>
          <w:sz w:val="20"/>
        </w:rPr>
        <w:t>Prepaid expenses and other current assets consisted of the following at June 30, 2026 and December 31, 2025:</w:t>
      </w:r>
    </w:p>
    <w:p>
      <w:pPr>
        <w:pStyle w:val="TextBody"/>
        <w:bidi w:val="0"/>
        <w:spacing w:before="0" w:after="0"/>
        <w:ind w:left="0" w:right="0" w:hanging="0"/>
        <w:jc w:val="center"/>
        <w:rPr>
          <w:caps w:val="false"/>
          <w:smallCaps w:val="false"/>
        </w:rPr>
      </w:pPr>
      <w:r>
        <w:rPr>
          <w:caps w:val="false"/>
          <w:smallCaps w:val="false"/>
        </w:rPr>
        <w:t> </w:t>
      </w:r>
      <w:bookmarkStart w:id="305" w:name="xdx_8BA_zbEmUS1hI194"/>
      <w:bookmarkEnd w:id="305"/>
      <w:r>
        <w:rPr>
          <w:rFonts w:ascii="Times New Roman;Times;Serif" w:hAnsi="Times New Roman;Times;Serif"/>
          <w:b w:val="false"/>
          <w:i w:val="false"/>
          <w:caps w:val="false"/>
          <w:smallCaps w:val="false"/>
          <w:sz w:val="20"/>
        </w:rPr>
        <w:t>Schedule of Prepaid Expenses and Other Current Assets</w:t>
      </w:r>
    </w:p>
    <w:tbl>
      <w:tblPr>
        <w:tblW w:w="6694" w:type="dxa"/>
        <w:jc w:val="left"/>
        <w:tblInd w:w="0" w:type="dxa"/>
        <w:tblLayout w:type="fixed"/>
        <w:tblCellMar>
          <w:top w:w="0" w:type="dxa"/>
          <w:left w:w="0" w:type="dxa"/>
          <w:bottom w:w="0" w:type="dxa"/>
          <w:right w:w="0" w:type="dxa"/>
        </w:tblCellMar>
      </w:tblPr>
      <w:tblGrid>
        <w:gridCol w:w="3905"/>
        <w:gridCol w:w="60"/>
        <w:gridCol w:w="140"/>
        <w:gridCol w:w="980"/>
        <w:gridCol w:w="60"/>
        <w:gridCol w:w="60"/>
        <w:gridCol w:w="176"/>
        <w:gridCol w:w="1238"/>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6" w:name="xdx_499_20260630_zhayVdu7Vml7"/>
            <w:bookmarkEnd w:id="306"/>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7" w:name="xdx_492_20251231_zoXto9LfxbQg"/>
            <w:bookmarkEnd w:id="30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08" w:name="xdx_402_ecustom--PrepaidManufacturingMat"/>
            <w:bookmarkEnd w:id="308"/>
          </w:p>
        </w:tc>
      </w:tr>
      <w:tr>
        <w:trPr/>
        <w:tc>
          <w:tcPr>
            <w:tcW w:w="3905" w:type="dxa"/>
            <w:tcBorders/>
            <w:shd w:fill="CCEEFF" w:val="clear"/>
            <w:vAlign w:val="center"/>
          </w:tcPr>
          <w:p>
            <w:pPr>
              <w:pStyle w:val="TableContents"/>
              <w:bidi w:val="0"/>
              <w:spacing w:before="0" w:after="283"/>
              <w:jc w:val="left"/>
              <w:rPr/>
            </w:pPr>
            <w:r>
              <w:rPr/>
              <w:t>Manufacturing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1,396,266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813,381</w:t>
            </w:r>
          </w:p>
        </w:tc>
        <w:tc>
          <w:tcPr>
            <w:tcW w:w="75" w:type="dxa"/>
            <w:tcBorders/>
            <w:shd w:fill="CCEEFF" w:val="clear"/>
            <w:vAlign w:val="center"/>
          </w:tcPr>
          <w:p>
            <w:pPr>
              <w:pStyle w:val="TableContents"/>
              <w:bidi w:val="0"/>
              <w:spacing w:before="0" w:after="283"/>
              <w:jc w:val="left"/>
              <w:rPr/>
            </w:pPr>
            <w:r>
              <w:rPr/>
              <w:t> </w:t>
            </w:r>
            <w:bookmarkStart w:id="309" w:name="xdx_40A_ecustom--ProfessionalFeesCurrent"/>
            <w:bookmarkEnd w:id="309"/>
          </w:p>
        </w:tc>
      </w:tr>
      <w:tr>
        <w:trPr/>
        <w:tc>
          <w:tcPr>
            <w:tcW w:w="390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10" w:name="xdx_40A_ecustom--PrepaidMarketingFees_iI"/>
            <w:bookmarkEnd w:id="310"/>
          </w:p>
        </w:tc>
      </w:tr>
      <w:tr>
        <w:trPr/>
        <w:tc>
          <w:tcPr>
            <w:tcW w:w="3905" w:type="dxa"/>
            <w:tcBorders/>
            <w:shd w:fill="CCEEFF" w:val="clear"/>
            <w:vAlign w:val="center"/>
          </w:tcPr>
          <w:p>
            <w:pPr>
              <w:pStyle w:val="TableContents"/>
              <w:bidi w:val="0"/>
              <w:spacing w:before="0" w:after="283"/>
              <w:jc w:val="left"/>
              <w:rPr/>
            </w:pPr>
            <w:r>
              <w:rPr/>
              <w:t>Marketing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bookmarkStart w:id="311" w:name="xdx_407_ecustom--PrepaidDuesAndSubscript"/>
            <w:bookmarkEnd w:id="311"/>
          </w:p>
        </w:tc>
      </w:tr>
      <w:tr>
        <w:trPr/>
        <w:tc>
          <w:tcPr>
            <w:tcW w:w="3905" w:type="dxa"/>
            <w:tcBorders/>
            <w:shd w:fill="FFFFFF" w:val="clear"/>
            <w:vAlign w:val="center"/>
          </w:tcPr>
          <w:p>
            <w:pPr>
              <w:pStyle w:val="TableContents"/>
              <w:bidi w:val="0"/>
              <w:spacing w:before="0" w:after="283"/>
              <w:jc w:val="left"/>
              <w:rPr/>
            </w:pPr>
            <w:r>
              <w:rPr/>
              <w:t>Dues and subscriptions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11,743</w:t>
            </w:r>
          </w:p>
        </w:tc>
        <w:tc>
          <w:tcPr>
            <w:tcW w:w="75" w:type="dxa"/>
            <w:tcBorders/>
            <w:shd w:fill="FFFFFF" w:val="clear"/>
            <w:vAlign w:val="center"/>
          </w:tcPr>
          <w:p>
            <w:pPr>
              <w:pStyle w:val="TableContents"/>
              <w:bidi w:val="0"/>
              <w:spacing w:before="0" w:after="283"/>
              <w:jc w:val="left"/>
              <w:rPr/>
            </w:pPr>
            <w:r>
              <w:rPr/>
              <w:t> </w:t>
            </w:r>
            <w:bookmarkStart w:id="312" w:name="xdx_402_eus-gaap--PrepaidInsurance_iI_ma"/>
            <w:bookmarkEnd w:id="312"/>
          </w:p>
        </w:tc>
      </w:tr>
      <w:tr>
        <w:trPr/>
        <w:tc>
          <w:tcPr>
            <w:tcW w:w="390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16,655</w:t>
            </w:r>
          </w:p>
        </w:tc>
        <w:tc>
          <w:tcPr>
            <w:tcW w:w="75" w:type="dxa"/>
            <w:tcBorders/>
            <w:shd w:fill="CCEEFF" w:val="clear"/>
            <w:vAlign w:val="center"/>
          </w:tcPr>
          <w:p>
            <w:pPr>
              <w:pStyle w:val="TableContents"/>
              <w:bidi w:val="0"/>
              <w:spacing w:before="0" w:after="283"/>
              <w:jc w:val="left"/>
              <w:rPr/>
            </w:pPr>
            <w:r>
              <w:rPr/>
              <w:t> </w:t>
            </w:r>
            <w:bookmarkStart w:id="313" w:name="xdx_406_eus-gaap--DeferredOfferingCosts_"/>
            <w:bookmarkEnd w:id="313"/>
          </w:p>
        </w:tc>
      </w:tr>
      <w:tr>
        <w:trPr/>
        <w:tc>
          <w:tcPr>
            <w:tcW w:w="3905" w:type="dxa"/>
            <w:tcBorders/>
            <w:shd w:fill="FFFFFF" w:val="clear"/>
            <w:vAlign w:val="center"/>
          </w:tcPr>
          <w:p>
            <w:pPr>
              <w:pStyle w:val="TableContents"/>
              <w:bidi w:val="0"/>
              <w:spacing w:before="0" w:after="283"/>
              <w:jc w:val="left"/>
              <w:rPr/>
            </w:pPr>
            <w:r>
              <w:rPr/>
              <w:t>Deferred capital raise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59,383</w:t>
            </w:r>
          </w:p>
        </w:tc>
        <w:tc>
          <w:tcPr>
            <w:tcW w:w="75" w:type="dxa"/>
            <w:tcBorders/>
            <w:shd w:fill="FFFFFF" w:val="clear"/>
            <w:vAlign w:val="center"/>
          </w:tcPr>
          <w:p>
            <w:pPr>
              <w:pStyle w:val="TableContents"/>
              <w:bidi w:val="0"/>
              <w:spacing w:before="0" w:after="283"/>
              <w:jc w:val="left"/>
              <w:rPr/>
            </w:pPr>
            <w:r>
              <w:rPr/>
              <w:t> </w:t>
            </w:r>
            <w:bookmarkStart w:id="314" w:name="xdx_400_eus-gaap--OtherPrepaidExpenseCur"/>
            <w:bookmarkEnd w:id="314"/>
          </w:p>
        </w:tc>
      </w:tr>
      <w:tr>
        <w:trPr/>
        <w:tc>
          <w:tcPr>
            <w:tcW w:w="390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58,907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20,700</w:t>
            </w:r>
          </w:p>
        </w:tc>
        <w:tc>
          <w:tcPr>
            <w:tcW w:w="75" w:type="dxa"/>
            <w:tcBorders/>
            <w:shd w:fill="CCEEFF" w:val="clear"/>
            <w:vAlign w:val="center"/>
          </w:tcPr>
          <w:p>
            <w:pPr>
              <w:pStyle w:val="TableContents"/>
              <w:bidi w:val="0"/>
              <w:spacing w:before="0" w:after="283"/>
              <w:jc w:val="left"/>
              <w:rPr/>
            </w:pPr>
            <w:r>
              <w:rPr/>
              <w:t> </w:t>
            </w:r>
            <w:bookmarkStart w:id="315" w:name="xdx_40E_eus-gaap--PrepaidExpenseAndOther"/>
            <w:bookmarkEnd w:id="315"/>
          </w:p>
        </w:tc>
      </w:tr>
      <w:tr>
        <w:trPr/>
        <w:tc>
          <w:tcPr>
            <w:tcW w:w="3905" w:type="dxa"/>
            <w:tcBorders/>
            <w:shd w:fill="FFFFFF" w:val="clear"/>
            <w:vAlign w:val="center"/>
          </w:tcPr>
          <w:p>
            <w:pPr>
              <w:pStyle w:val="TableContents"/>
              <w:bidi w:val="0"/>
              <w:spacing w:before="0" w:after="283"/>
              <w:jc w:val="left"/>
              <w:rPr/>
            </w:pPr>
            <w:r>
              <w:rPr>
                <w:rFonts w:ascii="Times New Roman;Times;Serif" w:hAnsi="Times New Roman;Times;Serif"/>
                <w:sz w:val="20"/>
              </w:rPr>
              <w:t>Total prepaid expenses and other current assets</w:t>
            </w: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1,766,714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1,046,862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16" w:name="xdx_8A8_z5lBmRsLWUqh"/>
      <w:bookmarkEnd w:id="3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 w:name="xdx_806_eus-gaap--PropertyPlantAndEquipm"/>
      <w:bookmarkEnd w:id="317"/>
      <w:r>
        <w:rPr>
          <w:rFonts w:ascii="Times New Roman;Times;Serif" w:hAnsi="Times New Roman;Times;Serif"/>
          <w:b/>
          <w:i w:val="false"/>
          <w:caps w:val="false"/>
          <w:smallCaps w:val="false"/>
          <w:sz w:val="20"/>
        </w:rPr>
        <w:t xml:space="preserve">(4) </w:t>
      </w:r>
      <w:bookmarkStart w:id="318" w:name="xdx_82C_zLBMBNsTQdW2"/>
      <w:bookmarkEnd w:id="318"/>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98_eus-gaap--PropertyPlantAndEquipm"/>
      <w:bookmarkEnd w:id="319"/>
      <w:r>
        <w:rPr>
          <w:rFonts w:ascii="Times New Roman;Times;Serif" w:hAnsi="Times New Roman;Times;Serif"/>
          <w:b w:val="false"/>
          <w:i w:val="false"/>
          <w:caps w:val="false"/>
          <w:smallCaps w:val="false"/>
          <w:sz w:val="20"/>
        </w:rPr>
        <w:t>Property and equipment, net consisted of the following at June 30, 2026 and December 31, 2025:</w:t>
      </w:r>
    </w:p>
    <w:p>
      <w:pPr>
        <w:pStyle w:val="TextBody"/>
        <w:bidi w:val="0"/>
        <w:spacing w:before="0" w:after="0"/>
        <w:ind w:left="720" w:right="0" w:hanging="0"/>
        <w:jc w:val="both"/>
        <w:rPr>
          <w:caps w:val="false"/>
          <w:smallCaps w:val="false"/>
        </w:rPr>
      </w:pPr>
      <w:r>
        <w:rPr>
          <w:caps w:val="false"/>
          <w:smallCaps w:val="false"/>
        </w:rPr>
        <w:t> </w:t>
      </w:r>
      <w:bookmarkStart w:id="320" w:name="xdx_8B2_zBFYoU04slgc"/>
      <w:bookmarkEnd w:id="320"/>
      <w:r>
        <w:rPr>
          <w:rFonts w:ascii="Times New Roman;Times;Serif" w:hAnsi="Times New Roman;Times;Serif"/>
          <w:b w:val="false"/>
          <w:i w:val="false"/>
          <w:caps w:val="false"/>
          <w:smallCaps w:val="false"/>
          <w:sz w:val="20"/>
        </w:rPr>
        <w:t>Schedule of Property and Equipment</w:t>
      </w:r>
    </w:p>
    <w:tbl>
      <w:tblPr>
        <w:tblW w:w="7114" w:type="dxa"/>
        <w:jc w:val="left"/>
        <w:tblInd w:w="0" w:type="dxa"/>
        <w:tblLayout w:type="fixed"/>
        <w:tblCellMar>
          <w:top w:w="0" w:type="dxa"/>
          <w:left w:w="0" w:type="dxa"/>
          <w:bottom w:w="0" w:type="dxa"/>
          <w:right w:w="0" w:type="dxa"/>
        </w:tblCellMar>
      </w:tblPr>
      <w:tblGrid>
        <w:gridCol w:w="2990"/>
        <w:gridCol w:w="60"/>
        <w:gridCol w:w="1130"/>
        <w:gridCol w:w="60"/>
        <w:gridCol w:w="140"/>
        <w:gridCol w:w="1055"/>
        <w:gridCol w:w="95"/>
        <w:gridCol w:w="60"/>
        <w:gridCol w:w="165"/>
        <w:gridCol w:w="124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bookmarkStart w:id="321" w:name="xdx_49F_20260630_z6oPd88UAJ4g"/>
            <w:bookmarkEnd w:id="321"/>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A_20251231_zYu0xCNAaQC3"/>
            <w:bookmarkEnd w:id="322"/>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23" w:name="xdx_40D_eus-gaap--PropertyPlantAndEquipm"/>
            <w:bookmarkEnd w:id="323"/>
          </w:p>
        </w:tc>
      </w:tr>
      <w:tr>
        <w:trPr/>
        <w:tc>
          <w:tcPr>
            <w:tcW w:w="299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324" w:name="xdx_908_eus-gaap--PropertyPlantAndEquipm"/>
            <w:bookmarkEnd w:id="324"/>
            <w:r>
              <w:rPr/>
              <w:t>2-</w:t>
            </w:r>
            <w:bookmarkStart w:id="325" w:name="xdx_90B_eus-gaap--PropertyPlantAndEquipm"/>
            <w:bookmarkEnd w:id="325"/>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4,662,280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4,662,280</w:t>
            </w:r>
          </w:p>
        </w:tc>
        <w:tc>
          <w:tcPr>
            <w:tcW w:w="110" w:type="dxa"/>
            <w:tcBorders/>
            <w:shd w:fill="CCEEFF" w:val="clear"/>
            <w:vAlign w:val="center"/>
          </w:tcPr>
          <w:p>
            <w:pPr>
              <w:pStyle w:val="TableContents"/>
              <w:bidi w:val="0"/>
              <w:spacing w:before="0" w:after="283"/>
              <w:jc w:val="left"/>
              <w:rPr/>
            </w:pPr>
            <w:r>
              <w:rPr/>
              <w:t> </w:t>
            </w:r>
            <w:bookmarkStart w:id="326" w:name="xdx_403_eus-gaap--PropertyPlantAndEquipm"/>
            <w:bookmarkEnd w:id="326"/>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327" w:name="xdx_908_eus-gaap--PropertyPlantAndEquipm"/>
            <w:bookmarkEnd w:id="327"/>
            <w:r>
              <w:rPr/>
              <w:t>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145,754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145,754</w:t>
            </w:r>
          </w:p>
        </w:tc>
        <w:tc>
          <w:tcPr>
            <w:tcW w:w="110" w:type="dxa"/>
            <w:tcBorders/>
            <w:shd w:fill="FFFFFF" w:val="clear"/>
            <w:vAlign w:val="center"/>
          </w:tcPr>
          <w:p>
            <w:pPr>
              <w:pStyle w:val="TableContents"/>
              <w:bidi w:val="0"/>
              <w:spacing w:before="0" w:after="283"/>
              <w:jc w:val="left"/>
              <w:rPr/>
            </w:pPr>
            <w:r>
              <w:rPr/>
              <w:t> </w:t>
            </w:r>
            <w:bookmarkStart w:id="328" w:name="xdx_404_eus-gaap--PropertyPlantAndEquipm"/>
            <w:bookmarkEnd w:id="328"/>
          </w:p>
        </w:tc>
      </w:tr>
      <w:tr>
        <w:trPr/>
        <w:tc>
          <w:tcPr>
            <w:tcW w:w="299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bookmarkStart w:id="329" w:name="xdx_90A_eus-gaap--PropertyPlantAndEquipm"/>
            <w:bookmarkEnd w:id="329"/>
            <w:r>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46,994</w:t>
            </w:r>
          </w:p>
        </w:tc>
        <w:tc>
          <w:tcPr>
            <w:tcW w:w="110" w:type="dxa"/>
            <w:tcBorders/>
            <w:shd w:fill="CCEEFF" w:val="clear"/>
            <w:vAlign w:val="center"/>
          </w:tcPr>
          <w:p>
            <w:pPr>
              <w:pStyle w:val="TableContents"/>
              <w:bidi w:val="0"/>
              <w:spacing w:before="0" w:after="283"/>
              <w:jc w:val="left"/>
              <w:rPr/>
            </w:pPr>
            <w:r>
              <w:rPr/>
              <w:t> </w:t>
            </w:r>
            <w:bookmarkStart w:id="330" w:name="xdx_402_eus-gaap--PropertyPlantAndEquipm"/>
            <w:bookmarkEnd w:id="330"/>
          </w:p>
        </w:tc>
      </w:tr>
      <w:tr>
        <w:trPr/>
        <w:tc>
          <w:tcPr>
            <w:tcW w:w="299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center"/>
              <w:rPr/>
            </w:pPr>
            <w:bookmarkStart w:id="331" w:name="xdx_901_eus-gaap--PropertyPlantAndEquipm"/>
            <w:bookmarkEnd w:id="331"/>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489,395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474,462</w:t>
            </w:r>
          </w:p>
        </w:tc>
        <w:tc>
          <w:tcPr>
            <w:tcW w:w="110" w:type="dxa"/>
            <w:tcBorders/>
            <w:shd w:fill="FFFFFF" w:val="clear"/>
            <w:vAlign w:val="center"/>
          </w:tcPr>
          <w:p>
            <w:pPr>
              <w:pStyle w:val="TableContents"/>
              <w:bidi w:val="0"/>
              <w:spacing w:before="0" w:after="283"/>
              <w:jc w:val="left"/>
              <w:rPr/>
            </w:pPr>
            <w:r>
              <w:rPr/>
              <w:t> </w:t>
            </w:r>
            <w:bookmarkStart w:id="332" w:name="xdx_40A_eus-gaap--PropertyPlantAndEquipm"/>
            <w:bookmarkEnd w:id="332"/>
          </w:p>
        </w:tc>
      </w:tr>
      <w:tr>
        <w:trPr/>
        <w:tc>
          <w:tcPr>
            <w:tcW w:w="2990" w:type="dxa"/>
            <w:tcBorders/>
            <w:shd w:fill="CCEEFF" w:val="clear"/>
            <w:vAlign w:val="center"/>
          </w:tcPr>
          <w:p>
            <w:pPr>
              <w:pStyle w:val="TableContents"/>
              <w:bidi w:val="0"/>
              <w:spacing w:before="0" w:after="283"/>
              <w:jc w:val="left"/>
              <w:rPr/>
            </w:pPr>
            <w:r>
              <w:rPr/>
              <w:t>Construction-in-process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346,727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233,397</w:t>
            </w:r>
          </w:p>
        </w:tc>
        <w:tc>
          <w:tcPr>
            <w:tcW w:w="110" w:type="dxa"/>
            <w:tcBorders/>
            <w:shd w:fill="CCEEFF" w:val="clear"/>
            <w:vAlign w:val="center"/>
          </w:tcPr>
          <w:p>
            <w:pPr>
              <w:pStyle w:val="TableContents"/>
              <w:bidi w:val="0"/>
              <w:spacing w:before="0" w:after="283"/>
              <w:jc w:val="left"/>
              <w:rPr/>
            </w:pPr>
            <w:r>
              <w:rPr/>
              <w:t> </w:t>
            </w:r>
            <w:bookmarkStart w:id="333" w:name="xdx_40D_eus-gaap--PropertyPlantAndEquipm"/>
            <w:bookmarkEnd w:id="333"/>
          </w:p>
        </w:tc>
      </w:tr>
      <w:tr>
        <w:trPr/>
        <w:tc>
          <w:tcPr>
            <w:tcW w:w="2990" w:type="dxa"/>
            <w:tcBorders/>
            <w:shd w:fill="FFFFFF" w:val="clear"/>
            <w:vAlign w:val="center"/>
          </w:tcPr>
          <w:p>
            <w:pPr>
              <w:pStyle w:val="TableContents"/>
              <w:bidi w:val="0"/>
              <w:spacing w:before="0" w:after="283"/>
              <w:jc w:val="left"/>
              <w:rPr/>
            </w:pPr>
            <w:r>
              <w:rPr>
                <w:rFonts w:ascii="Times New Roman;Times;Serif" w:hAnsi="Times New Roman;Times;Serif"/>
                <w:sz w:val="20"/>
              </w:rPr>
              <w:t>Property and equipment, gross</w:t>
            </w: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5,691,150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5,562,887</w:t>
            </w:r>
          </w:p>
        </w:tc>
        <w:tc>
          <w:tcPr>
            <w:tcW w:w="110" w:type="dxa"/>
            <w:tcBorders/>
            <w:shd w:fill="FFFFFF" w:val="clear"/>
            <w:vAlign w:val="center"/>
          </w:tcPr>
          <w:p>
            <w:pPr>
              <w:pStyle w:val="TableContents"/>
              <w:bidi w:val="0"/>
              <w:spacing w:before="0" w:after="283"/>
              <w:jc w:val="left"/>
              <w:rPr/>
            </w:pPr>
            <w:r>
              <w:rPr/>
              <w:t> </w:t>
            </w:r>
            <w:bookmarkStart w:id="334" w:name="xdx_407_eus-gaap--AccumulatedDepreciatio"/>
            <w:bookmarkEnd w:id="334"/>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(4,056,396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(3,836,968</w:t>
            </w:r>
          </w:p>
        </w:tc>
        <w:tc>
          <w:tcPr>
            <w:tcW w:w="110" w:type="dxa"/>
            <w:tcBorders/>
            <w:shd w:fill="CCEEFF" w:val="clear"/>
            <w:vAlign w:val="center"/>
          </w:tcPr>
          <w:p>
            <w:pPr>
              <w:pStyle w:val="TableContents"/>
              <w:bidi w:val="0"/>
              <w:spacing w:before="0" w:after="283"/>
              <w:jc w:val="left"/>
              <w:rPr/>
            </w:pPr>
            <w:r>
              <w:rPr/>
              <w:t>)</w:t>
            </w:r>
            <w:bookmarkStart w:id="335" w:name="xdx_40A_eus-gaap--PropertyPlantAndEquipm"/>
            <w:bookmarkEnd w:id="335"/>
          </w:p>
        </w:tc>
      </w:tr>
      <w:tr>
        <w:trPr/>
        <w:tc>
          <w:tcPr>
            <w:tcW w:w="2990" w:type="dxa"/>
            <w:tcBorders/>
            <w:shd w:fill="FFFFFF" w:val="clear"/>
            <w:vAlign w:val="center"/>
          </w:tcPr>
          <w:p>
            <w:pPr>
              <w:pStyle w:val="TableContents"/>
              <w:bidi w:val="0"/>
              <w:spacing w:before="0" w:after="283"/>
              <w:jc w:val="left"/>
              <w:rPr/>
            </w:pPr>
            <w:r>
              <w:rPr>
                <w:rFonts w:ascii="Times New Roman;Times;Serif" w:hAnsi="Times New Roman;Times;Serif"/>
                <w:sz w:val="20"/>
              </w:rPr>
              <w:t>Property and equipment, net</w:t>
            </w: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1,634,754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1,725,919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336" w:name="xdx_8A0_zLTrfsU5UMbe"/>
      <w:bookmarkEnd w:id="3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337" w:name="xdx_90B_eus-gaap--Depreciation_c20260101"/>
      <w:bookmarkEnd w:id="337"/>
      <w:r>
        <w:rPr>
          <w:rFonts w:ascii="Times New Roman;Times;Serif" w:hAnsi="Times New Roman;Times;Serif"/>
          <w:b w:val="false"/>
          <w:i w:val="false"/>
          <w:caps w:val="false"/>
          <w:smallCaps w:val="false"/>
          <w:sz w:val="20"/>
        </w:rPr>
        <w:t>219,428 and $</w:t>
      </w:r>
      <w:bookmarkStart w:id="338" w:name="xdx_90B_eus-gaap--Depreciation_c20250101"/>
      <w:bookmarkEnd w:id="338"/>
      <w:r>
        <w:rPr>
          <w:rFonts w:ascii="Times New Roman;Times;Serif" w:hAnsi="Times New Roman;Times;Serif"/>
          <w:b w:val="false"/>
          <w:i w:val="false"/>
          <w:caps w:val="false"/>
          <w:smallCaps w:val="false"/>
          <w:sz w:val="20"/>
        </w:rPr>
        <w:t>312,280, respectively, for the six-month periods ended June 30, 2026 and 2025. Depreciation expense was $</w:t>
      </w:r>
      <w:bookmarkStart w:id="339" w:name="xdx_903_eus-gaap--Depreciation_c20260401"/>
      <w:bookmarkEnd w:id="339"/>
      <w:r>
        <w:rPr>
          <w:rFonts w:ascii="Times New Roman;Times;Serif" w:hAnsi="Times New Roman;Times;Serif"/>
          <w:b w:val="false"/>
          <w:i w:val="false"/>
          <w:caps w:val="false"/>
          <w:smallCaps w:val="false"/>
          <w:sz w:val="20"/>
        </w:rPr>
        <w:t>98,243 and $</w:t>
      </w:r>
      <w:bookmarkStart w:id="340" w:name="xdx_909_eus-gaap--Depreciation_c20250401"/>
      <w:bookmarkEnd w:id="340"/>
      <w:r>
        <w:rPr>
          <w:rFonts w:ascii="Times New Roman;Times;Serif" w:hAnsi="Times New Roman;Times;Serif"/>
          <w:b w:val="false"/>
          <w:i w:val="false"/>
          <w:caps w:val="false"/>
          <w:smallCaps w:val="false"/>
          <w:sz w:val="20"/>
        </w:rPr>
        <w:t>146,989, respectively, for the three-month periods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1" w:name="xdx_803_eus-gaap--AccountsPayableAndAccr"/>
      <w:bookmarkEnd w:id="341"/>
      <w:r>
        <w:rPr>
          <w:rFonts w:ascii="Times New Roman;Times;Serif" w:hAnsi="Times New Roman;Times;Serif"/>
          <w:b/>
          <w:i w:val="false"/>
          <w:caps w:val="false"/>
          <w:smallCaps w:val="false"/>
          <w:sz w:val="20"/>
        </w:rPr>
        <w:t xml:space="preserve">(5) </w:t>
      </w:r>
      <w:bookmarkStart w:id="342" w:name="xdx_828_z87S8q2yzst3"/>
      <w:bookmarkEnd w:id="342"/>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3" w:name="xdx_89E_eus-gaap--ScheduleOfAccruedLiabi"/>
      <w:bookmarkEnd w:id="343"/>
      <w:r>
        <w:rPr>
          <w:rFonts w:ascii="Times New Roman;Times;Serif" w:hAnsi="Times New Roman;Times;Serif"/>
          <w:b w:val="false"/>
          <w:i w:val="false"/>
          <w:caps w:val="false"/>
          <w:smallCaps w:val="false"/>
          <w:sz w:val="20"/>
        </w:rPr>
        <w:t>Accrued expenses consisted of the following at June 30, 2026 and December 31, 2025:</w:t>
      </w:r>
    </w:p>
    <w:p>
      <w:pPr>
        <w:pStyle w:val="TextBody"/>
        <w:bidi w:val="0"/>
        <w:spacing w:before="0" w:after="0"/>
        <w:ind w:left="720" w:right="0" w:hanging="0"/>
        <w:jc w:val="both"/>
        <w:rPr>
          <w:caps w:val="false"/>
          <w:smallCaps w:val="false"/>
        </w:rPr>
      </w:pPr>
      <w:r>
        <w:rPr>
          <w:caps w:val="false"/>
          <w:smallCaps w:val="false"/>
        </w:rPr>
        <w:t> </w:t>
      </w:r>
      <w:bookmarkStart w:id="344" w:name="xdx_8BC_z0bha7TD8BR7"/>
      <w:bookmarkEnd w:id="344"/>
      <w:r>
        <w:rPr>
          <w:rFonts w:ascii="Times New Roman;Times;Serif" w:hAnsi="Times New Roman;Times;Serif"/>
          <w:b w:val="false"/>
          <w:i w:val="false"/>
          <w:caps w:val="false"/>
          <w:smallCaps w:val="false"/>
          <w:sz w:val="20"/>
        </w:rPr>
        <w:t>Schedule of Accrued Expenses</w:t>
      </w:r>
    </w:p>
    <w:tbl>
      <w:tblPr>
        <w:tblW w:w="5464" w:type="dxa"/>
        <w:jc w:val="left"/>
        <w:tblInd w:w="0" w:type="dxa"/>
        <w:tblLayout w:type="fixed"/>
        <w:tblCellMar>
          <w:top w:w="0" w:type="dxa"/>
          <w:left w:w="0" w:type="dxa"/>
          <w:bottom w:w="0" w:type="dxa"/>
          <w:right w:w="0" w:type="dxa"/>
        </w:tblCellMar>
      </w:tblPr>
      <w:tblGrid>
        <w:gridCol w:w="2675"/>
        <w:gridCol w:w="60"/>
        <w:gridCol w:w="140"/>
        <w:gridCol w:w="980"/>
        <w:gridCol w:w="60"/>
        <w:gridCol w:w="60"/>
        <w:gridCol w:w="176"/>
        <w:gridCol w:w="1238"/>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5" w:name="xdx_494_20260630_zcptAqkZY6Yk"/>
            <w:bookmarkEnd w:id="345"/>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6" w:name="xdx_49E_20251231_zA0wf1SxQoqa"/>
            <w:bookmarkEnd w:id="346"/>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47" w:name="xdx_409_eus-gaap--InterestPayableCurrent"/>
            <w:bookmarkEnd w:id="347"/>
          </w:p>
        </w:tc>
      </w:tr>
      <w:tr>
        <w:trPr/>
        <w:tc>
          <w:tcPr>
            <w:tcW w:w="2675"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388,702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563,883</w:t>
            </w:r>
          </w:p>
        </w:tc>
        <w:tc>
          <w:tcPr>
            <w:tcW w:w="75" w:type="dxa"/>
            <w:tcBorders/>
            <w:shd w:fill="CCEEFF" w:val="clear"/>
            <w:vAlign w:val="center"/>
          </w:tcPr>
          <w:p>
            <w:pPr>
              <w:pStyle w:val="TableContents"/>
              <w:bidi w:val="0"/>
              <w:spacing w:before="0" w:after="283"/>
              <w:jc w:val="left"/>
              <w:rPr/>
            </w:pPr>
            <w:r>
              <w:rPr/>
              <w:t> </w:t>
            </w:r>
            <w:bookmarkStart w:id="348" w:name="xdx_407_ecustom--PrecommercializationCos"/>
            <w:bookmarkEnd w:id="348"/>
          </w:p>
        </w:tc>
      </w:tr>
      <w:tr>
        <w:trPr/>
        <w:tc>
          <w:tcPr>
            <w:tcW w:w="2675" w:type="dxa"/>
            <w:tcBorders/>
            <w:shd w:fill="FFFFFF" w:val="clear"/>
            <w:vAlign w:val="center"/>
          </w:tcPr>
          <w:p>
            <w:pPr>
              <w:pStyle w:val="TableContents"/>
              <w:bidi w:val="0"/>
              <w:spacing w:before="0" w:after="283"/>
              <w:jc w:val="left"/>
              <w:rPr/>
            </w:pPr>
            <w:r>
              <w:rPr/>
              <w:t>Pre-commercialization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393,076</w:t>
            </w:r>
          </w:p>
        </w:tc>
        <w:tc>
          <w:tcPr>
            <w:tcW w:w="75" w:type="dxa"/>
            <w:tcBorders/>
            <w:shd w:fill="FFFFFF" w:val="clear"/>
            <w:vAlign w:val="center"/>
          </w:tcPr>
          <w:p>
            <w:pPr>
              <w:pStyle w:val="TableContents"/>
              <w:bidi w:val="0"/>
              <w:spacing w:before="0" w:after="283"/>
              <w:jc w:val="left"/>
              <w:rPr/>
            </w:pPr>
            <w:r>
              <w:rPr/>
              <w:t> </w:t>
            </w:r>
            <w:bookmarkStart w:id="349" w:name="xdx_400_ecustom--ManufacturingMaterialsC"/>
            <w:bookmarkEnd w:id="349"/>
          </w:p>
        </w:tc>
      </w:tr>
      <w:tr>
        <w:trPr/>
        <w:tc>
          <w:tcPr>
            <w:tcW w:w="2675" w:type="dxa"/>
            <w:tcBorders/>
            <w:shd w:fill="CCEEFF" w:val="clear"/>
            <w:vAlign w:val="center"/>
          </w:tcPr>
          <w:p>
            <w:pPr>
              <w:pStyle w:val="TableContents"/>
              <w:bidi w:val="0"/>
              <w:spacing w:before="0" w:after="283"/>
              <w:jc w:val="left"/>
              <w:rPr/>
            </w:pPr>
            <w:r>
              <w:rPr/>
              <w:t>Manufacturing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50" w:name="xdx_403_ecustom--ManufacturingActivities"/>
            <w:bookmarkEnd w:id="350"/>
          </w:p>
        </w:tc>
      </w:tr>
      <w:tr>
        <w:trPr/>
        <w:tc>
          <w:tcPr>
            <w:tcW w:w="2675" w:type="dxa"/>
            <w:tcBorders/>
            <w:shd w:fill="FFFFFF" w:val="clear"/>
            <w:vAlign w:val="center"/>
          </w:tcPr>
          <w:p>
            <w:pPr>
              <w:pStyle w:val="TableContents"/>
              <w:bidi w:val="0"/>
              <w:spacing w:before="0" w:after="283"/>
              <w:jc w:val="left"/>
              <w:rPr/>
            </w:pPr>
            <w:r>
              <w:rPr/>
              <w:t>Manufacturing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1" w:name="xdx_407_eus-gaap--SalesAndExciseTaxPayab"/>
            <w:bookmarkEnd w:id="351"/>
          </w:p>
        </w:tc>
      </w:tr>
      <w:tr>
        <w:trPr/>
        <w:tc>
          <w:tcPr>
            <w:tcW w:w="2675" w:type="dxa"/>
            <w:tcBorders/>
            <w:shd w:fill="CCEEFF" w:val="clear"/>
            <w:vAlign w:val="center"/>
          </w:tcPr>
          <w:p>
            <w:pPr>
              <w:pStyle w:val="TableContents"/>
              <w:bidi w:val="0"/>
              <w:spacing w:before="0" w:after="283"/>
              <w:jc w:val="left"/>
              <w:rPr/>
            </w:pPr>
            <w:r>
              <w:rPr/>
              <w:t>State franchise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44,000</w:t>
            </w:r>
          </w:p>
        </w:tc>
        <w:tc>
          <w:tcPr>
            <w:tcW w:w="75" w:type="dxa"/>
            <w:tcBorders/>
            <w:shd w:fill="CCEEFF" w:val="clear"/>
            <w:vAlign w:val="center"/>
          </w:tcPr>
          <w:p>
            <w:pPr>
              <w:pStyle w:val="TableContents"/>
              <w:bidi w:val="0"/>
              <w:spacing w:before="0" w:after="283"/>
              <w:jc w:val="left"/>
              <w:rPr/>
            </w:pPr>
            <w:r>
              <w:rPr/>
              <w:t> </w:t>
            </w:r>
            <w:bookmarkStart w:id="352" w:name="xdx_400_ecustom--EmployeeCompensationCur"/>
            <w:bookmarkEnd w:id="352"/>
          </w:p>
        </w:tc>
      </w:tr>
      <w:tr>
        <w:trPr/>
        <w:tc>
          <w:tcPr>
            <w:tcW w:w="2675"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455,177</w:t>
            </w:r>
          </w:p>
        </w:tc>
        <w:tc>
          <w:tcPr>
            <w:tcW w:w="75" w:type="dxa"/>
            <w:tcBorders/>
            <w:shd w:fill="FFFFFF" w:val="clear"/>
            <w:vAlign w:val="center"/>
          </w:tcPr>
          <w:p>
            <w:pPr>
              <w:pStyle w:val="TableContents"/>
              <w:bidi w:val="0"/>
              <w:spacing w:before="0" w:after="283"/>
              <w:jc w:val="left"/>
              <w:rPr/>
            </w:pPr>
            <w:r>
              <w:rPr/>
              <w:t> </w:t>
            </w:r>
            <w:bookmarkStart w:id="353" w:name="xdx_405_eus-gaap--AccruedProfessionalFee"/>
            <w:bookmarkEnd w:id="353"/>
          </w:p>
        </w:tc>
      </w:tr>
      <w:tr>
        <w:trPr/>
        <w:tc>
          <w:tcPr>
            <w:tcW w:w="267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31,542</w:t>
            </w:r>
          </w:p>
        </w:tc>
        <w:tc>
          <w:tcPr>
            <w:tcW w:w="75" w:type="dxa"/>
            <w:tcBorders/>
            <w:shd w:fill="CCEEFF" w:val="clear"/>
            <w:vAlign w:val="center"/>
          </w:tcPr>
          <w:p>
            <w:pPr>
              <w:pStyle w:val="TableContents"/>
              <w:bidi w:val="0"/>
              <w:spacing w:before="0" w:after="283"/>
              <w:jc w:val="left"/>
              <w:rPr/>
            </w:pPr>
            <w:r>
              <w:rPr/>
              <w:t> </w:t>
            </w:r>
            <w:bookmarkStart w:id="354" w:name="xdx_40E_ecustom--AccruedResearchAndDevel"/>
            <w:bookmarkEnd w:id="354"/>
          </w:p>
        </w:tc>
      </w:tr>
      <w:tr>
        <w:trPr/>
        <w:tc>
          <w:tcPr>
            <w:tcW w:w="267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166,696</w:t>
            </w:r>
          </w:p>
        </w:tc>
        <w:tc>
          <w:tcPr>
            <w:tcW w:w="75" w:type="dxa"/>
            <w:tcBorders/>
            <w:shd w:fill="FFFFFF" w:val="clear"/>
            <w:vAlign w:val="center"/>
          </w:tcPr>
          <w:p>
            <w:pPr>
              <w:pStyle w:val="TableContents"/>
              <w:bidi w:val="0"/>
              <w:spacing w:before="0" w:after="283"/>
              <w:jc w:val="left"/>
              <w:rPr/>
            </w:pPr>
            <w:r>
              <w:rPr/>
              <w:t> </w:t>
            </w:r>
            <w:bookmarkStart w:id="355" w:name="xdx_40D_eus-gaap--OtherAccruedLiabilitie"/>
            <w:bookmarkEnd w:id="355"/>
          </w:p>
        </w:tc>
      </w:tr>
      <w:tr>
        <w:trPr/>
        <w:tc>
          <w:tcPr>
            <w:tcW w:w="26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87,742</w:t>
            </w:r>
          </w:p>
        </w:tc>
        <w:tc>
          <w:tcPr>
            <w:tcW w:w="75" w:type="dxa"/>
            <w:tcBorders/>
            <w:shd w:fill="CCEEFF" w:val="clear"/>
            <w:vAlign w:val="center"/>
          </w:tcPr>
          <w:p>
            <w:pPr>
              <w:pStyle w:val="TableContents"/>
              <w:bidi w:val="0"/>
              <w:spacing w:before="0" w:after="283"/>
              <w:jc w:val="left"/>
              <w:rPr/>
            </w:pPr>
            <w:r>
              <w:rPr/>
              <w:t> </w:t>
            </w:r>
            <w:bookmarkStart w:id="356" w:name="xdx_40B_eus-gaap--AccruedLiabilitiesCurr"/>
            <w:bookmarkEnd w:id="356"/>
          </w:p>
        </w:tc>
      </w:tr>
      <w:tr>
        <w:trPr/>
        <w:tc>
          <w:tcPr>
            <w:tcW w:w="2675" w:type="dxa"/>
            <w:tcBorders/>
            <w:shd w:fill="FFFFFF" w:val="clear"/>
            <w:vAlign w:val="center"/>
          </w:tcPr>
          <w:p>
            <w:pPr>
              <w:pStyle w:val="TableContents"/>
              <w:bidi w:val="0"/>
              <w:spacing w:before="0" w:after="283"/>
              <w:jc w:val="left"/>
              <w:rPr/>
            </w:pPr>
            <w:r>
              <w:rPr>
                <w:rFonts w:ascii="Times New Roman;Times;Serif" w:hAnsi="Times New Roman;Times;Serif"/>
                <w:sz w:val="20"/>
              </w:rPr>
              <w:t>Total accrued expenses</w:t>
            </w: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1,322,536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FFFFFF" w:val="clear"/>
            <w:tcMar>
              <w:bottom w:w="28" w:type="dxa"/>
            </w:tcMar>
            <w:vAlign w:val="center"/>
          </w:tcPr>
          <w:p>
            <w:pPr>
              <w:pStyle w:val="TableContents"/>
              <w:bidi w:val="0"/>
              <w:spacing w:before="0" w:after="283"/>
              <w:jc w:val="right"/>
              <w:rPr/>
            </w:pPr>
            <w:r>
              <w:rPr/>
              <w:t>1,742,116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357" w:name="xdx_8A0_zCyuZQUNYsH"/>
      <w:bookmarkEnd w:id="3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xdx_804_eus-gaap--LossContingencyDisclos"/>
      <w:bookmarkEnd w:id="358"/>
      <w:r>
        <w:rPr>
          <w:rFonts w:ascii="Times New Roman;Times;Serif" w:hAnsi="Times New Roman;Times;Serif"/>
          <w:b/>
          <w:i w:val="false"/>
          <w:caps w:val="false"/>
          <w:smallCaps w:val="false"/>
          <w:sz w:val="20"/>
        </w:rPr>
        <w:t xml:space="preserve">(6) </w:t>
      </w:r>
      <w:bookmarkStart w:id="359" w:name="xdx_82D_zlXmD80TDTDd"/>
      <w:bookmarkEnd w:id="359"/>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be subject to legal proceedings and claims arising in the ordinary course of business and otherwise. A substantial legal liability against us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legal costs associated with loss contingencies as incurred and establishes reserves when those matters present material loss contingencies that management determines to be both probable and reasonably estimable in accordance with ASC 450, </w:t>
      </w:r>
      <w:r>
        <w:rPr>
          <w:rFonts w:ascii="Times New Roman;Times;Serif" w:hAnsi="Times New Roman;Times;Serif"/>
          <w:b w:val="false"/>
          <w:i/>
          <w:caps w:val="false"/>
          <w:smallCaps w:val="false"/>
          <w:sz w:val="20"/>
        </w:rPr>
        <w:t xml:space="preserve">Contingencies. </w:t>
      </w:r>
      <w:r>
        <w:rPr>
          <w:rFonts w:ascii="Times New Roman;Times;Serif" w:hAnsi="Times New Roman;Times;Serif"/>
          <w:b w:val="false"/>
          <w:i w:val="false"/>
          <w:caps w:val="false"/>
          <w:smallCaps w:val="false"/>
          <w:sz w:val="20"/>
        </w:rPr>
        <w:t>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 These amounts are not reduced by amounts that may be recovered under insurance or claims against third parties, but undiscounted receivables from insurers or other third parties may be accrued separately if recovery is considered probable. Management’s judgment is required related to loss contingencies because the outcomes are difficult to predict, and the ultimate resolution may differ from our current analysis. The Company revises accruals in light of new information. While it is not possible to predict the outcome of loss contingencies with certainty, management is of the opinion that adequate provision for potential losses associated with any such matters has been made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0" w:name="xdx_806_eus-gaap--DebtDisclosureTextBloc"/>
      <w:bookmarkEnd w:id="360"/>
      <w:r>
        <w:rPr>
          <w:rFonts w:ascii="Times New Roman;Times;Serif" w:hAnsi="Times New Roman;Times;Serif"/>
          <w:b/>
          <w:i w:val="false"/>
          <w:caps w:val="false"/>
          <w:smallCaps w:val="false"/>
          <w:sz w:val="20"/>
        </w:rPr>
        <w:t xml:space="preserve">(7) </w:t>
      </w:r>
      <w:bookmarkStart w:id="361" w:name="xdx_822_zrRn0FaMknEh"/>
      <w:bookmarkEnd w:id="361"/>
      <w:r>
        <w:rPr>
          <w:rFonts w:ascii="Times New Roman;Times;Serif" w:hAnsi="Times New Roman;Times;Serif"/>
          <w:b/>
          <w:i w:val="false"/>
          <w:caps w:val="false"/>
          <w:smallCaps w:val="false"/>
          <w:sz w:val="20"/>
        </w:rPr>
        <w:t>Unsecured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the Company entered into a note purchase agreement (2024 Note Purchase Agreement) with Streeterville Capital, LLC, a Utah limited liability company (Lender), pursuant to which the Company issued and sold to Lender an unsecured promissory note (2024 Note) in the amount of $</w:t>
      </w:r>
      <w:bookmarkStart w:id="362" w:name="xdx_90D_eus-gaap--UnsecuredLongTermDebt_"/>
      <w:bookmarkEnd w:id="362"/>
      <w:r>
        <w:rPr>
          <w:rFonts w:ascii="Times New Roman;Times;Serif" w:hAnsi="Times New Roman;Times;Serif"/>
          <w:b w:val="false"/>
          <w:i w:val="false"/>
          <w:caps w:val="false"/>
          <w:smallCaps w:val="false"/>
          <w:sz w:val="20"/>
        </w:rPr>
        <w:t>5,480,000. The 2024 Note included an original issue discount of $</w:t>
      </w:r>
      <w:bookmarkStart w:id="363" w:name="xdx_900_ecustom--DebtInstrumentOriginalD"/>
      <w:bookmarkEnd w:id="363"/>
      <w:r>
        <w:rPr>
          <w:rFonts w:ascii="Times New Roman;Times;Serif" w:hAnsi="Times New Roman;Times;Serif"/>
          <w:b w:val="false"/>
          <w:i w:val="false"/>
          <w:caps w:val="false"/>
          <w:smallCaps w:val="false"/>
          <w:sz w:val="20"/>
        </w:rPr>
        <w:t>450,000 and Lender expenses payable by the Company of $</w:t>
      </w:r>
      <w:bookmarkStart w:id="364" w:name="xdx_908_ecustom--LenderExpensesOnIssueOf"/>
      <w:bookmarkEnd w:id="364"/>
      <w:r>
        <w:rPr>
          <w:rFonts w:ascii="Times New Roman;Times;Serif" w:hAnsi="Times New Roman;Times;Serif"/>
          <w:b w:val="false"/>
          <w:i w:val="false"/>
          <w:caps w:val="false"/>
          <w:smallCaps w:val="false"/>
          <w:sz w:val="20"/>
        </w:rPr>
        <w:t>30,000. In exchange for the 2024 Note, the Lender paid a purchase price of $</w:t>
      </w:r>
      <w:bookmarkStart w:id="365" w:name="xdx_909_eus-gaap--DebtInstrumentFaceAmou"/>
      <w:bookmarkEnd w:id="365"/>
      <w:r>
        <w:rPr>
          <w:rFonts w:ascii="Times New Roman;Times;Serif" w:hAnsi="Times New Roman;Times;Serif"/>
          <w:b w:val="false"/>
          <w:i w:val="false"/>
          <w:caps w:val="false"/>
          <w:smallCaps w:val="false"/>
          <w:sz w:val="20"/>
        </w:rPr>
        <w:t xml:space="preserve">5,000,000 in cash. The 2024 Note bore interest at a rate of </w:t>
      </w:r>
      <w:bookmarkStart w:id="366" w:name="xdx_904_eus-gaap--DebtInstrumentInterest"/>
      <w:bookmarkEnd w:id="366"/>
      <w:r>
        <w:rPr>
          <w:rFonts w:ascii="Times New Roman;Times;Serif" w:hAnsi="Times New Roman;Times;Serif"/>
          <w:b w:val="false"/>
          <w:i w:val="false"/>
          <w:caps w:val="false"/>
          <w:smallCaps w:val="false"/>
          <w:sz w:val="20"/>
        </w:rPr>
        <w:t>9% per annum and had a maturity of 18 months after its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beginning on July 2, 2025, Lender could redeem a portion of the 2024 Note. Pursuant to the terms of the 2024 Note, the Company was charged a monitoring fee equal to the outstanding principal balance </w:t>
      </w:r>
      <w:bookmarkStart w:id="367" w:name="xdx_905_eus-gaap--DefaultLongtermDebtDes"/>
      <w:bookmarkEnd w:id="367"/>
      <w:r>
        <w:rPr>
          <w:rFonts w:ascii="Times New Roman;Times;Serif" w:hAnsi="Times New Roman;Times;Serif"/>
          <w:b w:val="false"/>
          <w:i w:val="false"/>
          <w:caps w:val="false"/>
          <w:smallCaps w:val="false"/>
          <w:sz w:val="20"/>
        </w:rPr>
        <w:t>on the 90-day anniversary of the effective date of the 2024 Note divided by 0.85 less the outstanding balance on such date. Subject to the terms and conditions set forth in the 2024 Note, the Company could prepay all or any portion of the outstanding balance of the 2024 Note at any time. The Company entered into several exchange agreements with Lender to exchange a total of $</w:t>
      </w:r>
      <w:bookmarkStart w:id="368" w:name="xdx_90C_eus-gaap--DebtConversionConverte"/>
      <w:bookmarkEnd w:id="368"/>
      <w:r>
        <w:rPr>
          <w:rFonts w:ascii="Times New Roman;Times;Serif" w:hAnsi="Times New Roman;Times;Serif"/>
          <w:b w:val="false"/>
          <w:i w:val="false"/>
          <w:caps w:val="false"/>
          <w:smallCaps w:val="false"/>
          <w:sz w:val="20"/>
        </w:rPr>
        <w:t xml:space="preserve">6,983,947 of principal, monitoring fee and interest for </w:t>
      </w:r>
      <w:bookmarkStart w:id="369" w:name="xdx_900_ecustom--DebtConversionConverted"/>
      <w:bookmarkEnd w:id="369"/>
      <w:r>
        <w:rPr>
          <w:rFonts w:ascii="Times New Roman;Times;Serif" w:hAnsi="Times New Roman;Times;Serif"/>
          <w:b w:val="false"/>
          <w:i w:val="false"/>
          <w:caps w:val="false"/>
          <w:smallCaps w:val="false"/>
          <w:sz w:val="20"/>
        </w:rPr>
        <w:t>1,627,422 shares of common stock, and the 2024 Note was extinguished in February 2026. In connection with the exchange agreements, the Company recorded the pro rata portion of the monitoring fee as well as accrued interest on the pro rata portion of the monitoring fee. As of the date the 2024 Note was extinguished, the full monitoring fee of $</w:t>
      </w:r>
      <w:bookmarkStart w:id="370" w:name="xdx_90F_eus-gaap--GainsLossesOnExtinguis"/>
      <w:bookmarkEnd w:id="370"/>
      <w:r>
        <w:rPr>
          <w:rFonts w:ascii="Times New Roman;Times;Serif" w:hAnsi="Times New Roman;Times;Serif"/>
          <w:b w:val="false"/>
          <w:i w:val="false"/>
          <w:caps w:val="false"/>
          <w:smallCaps w:val="false"/>
          <w:sz w:val="20"/>
        </w:rPr>
        <w:t>989,309 had been recognized as a loss on debt extinguishment within interest and other income (expense), net and the interest expense on the monitoring fee was $</w:t>
      </w:r>
      <w:bookmarkStart w:id="371" w:name="xdx_903_eus-gaap--InterestPayableCurrent"/>
      <w:bookmarkEnd w:id="371"/>
      <w:r>
        <w:rPr>
          <w:rFonts w:ascii="Times New Roman;Times;Serif" w:hAnsi="Times New Roman;Times;Serif"/>
          <w:b w:val="false"/>
          <w:i w:val="false"/>
          <w:caps w:val="false"/>
          <w:smallCaps w:val="false"/>
          <w:sz w:val="20"/>
        </w:rPr>
        <w:t>79,977.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2024 Note, the Company incurred $</w:t>
      </w:r>
      <w:bookmarkStart w:id="372" w:name="xdx_907_eus-gaap--PaymentsOfDebtIssuance"/>
      <w:bookmarkEnd w:id="372"/>
      <w:r>
        <w:rPr>
          <w:rFonts w:ascii="Times New Roman;Times;Serif" w:hAnsi="Times New Roman;Times;Serif"/>
          <w:b w:val="false"/>
          <w:i w:val="false"/>
          <w:caps w:val="false"/>
          <w:smallCaps w:val="false"/>
          <w:sz w:val="20"/>
        </w:rPr>
        <w:t>46,277 of debt issuance costs. The debt issuance costs, the debt discount of $</w:t>
      </w:r>
      <w:bookmarkStart w:id="373" w:name="xdx_902_ecustom--DebtInstrumentOriginalD"/>
      <w:bookmarkEnd w:id="373"/>
      <w:r>
        <w:rPr>
          <w:rFonts w:ascii="Times New Roman;Times;Serif" w:hAnsi="Times New Roman;Times;Serif"/>
          <w:b w:val="false"/>
          <w:i w:val="false"/>
          <w:caps w:val="false"/>
          <w:smallCaps w:val="false"/>
          <w:sz w:val="20"/>
        </w:rPr>
        <w:t>450,000 and the expenses payable by the Company of $</w:t>
      </w:r>
      <w:bookmarkStart w:id="374" w:name="xdx_90B_ecustom--LenderExpensesOnIssueOf"/>
      <w:bookmarkEnd w:id="374"/>
      <w:r>
        <w:rPr>
          <w:rFonts w:ascii="Times New Roman;Times;Serif" w:hAnsi="Times New Roman;Times;Serif"/>
          <w:b w:val="false"/>
          <w:i w:val="false"/>
          <w:caps w:val="false"/>
          <w:smallCaps w:val="false"/>
          <w:sz w:val="20"/>
        </w:rPr>
        <w:t>30,000 have been recorded as a reduction in the carrying amount of the 2024 Note and were amortized over the term of the 2024 Note using the effective interest rate method. The Company wrote-off the debt issuance costs and debt discount over the life of the 2024 Note in connection with the debt extinguishments described above and recognized as a loss on debt extinguishment within interest and other income (expense), net of $</w:t>
      </w:r>
      <w:bookmarkStart w:id="375" w:name="xdx_90A_eus-gaap--NonoperatingIncomeExpe"/>
      <w:bookmarkEnd w:id="375"/>
      <w:r>
        <w:rPr>
          <w:rFonts w:ascii="Times New Roman;Times;Serif" w:hAnsi="Times New Roman;Times;Serif"/>
          <w:b w:val="false"/>
          <w:i w:val="false"/>
          <w:caps w:val="false"/>
          <w:smallCaps w:val="false"/>
          <w:sz w:val="20"/>
        </w:rPr>
        <w:t>153,423. As of June 30, 2026, the aggregate amount of unamortized debt discount and debt issuance costs was $</w:t>
      </w:r>
      <w:bookmarkStart w:id="376" w:name="xdx_90C_eus-gaap--DebtInstrumentUnamorti"/>
      <w:bookmarkEnd w:id="376"/>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9D_eus-gaap--ScheduleOfDebtTableTex"/>
      <w:bookmarkEnd w:id="377"/>
      <w:r>
        <w:rPr>
          <w:rFonts w:ascii="Times New Roman;Times;Serif" w:hAnsi="Times New Roman;Times;Serif"/>
          <w:b w:val="false"/>
          <w:i w:val="false"/>
          <w:caps w:val="false"/>
          <w:smallCaps w:val="false"/>
          <w:sz w:val="20"/>
        </w:rPr>
        <w:t>As of June 30, 2026 and December 31, 2025, the outstanding balances relating to the 2024 Note were as follows:</w:t>
      </w:r>
    </w:p>
    <w:p>
      <w:pPr>
        <w:pStyle w:val="TextBody"/>
        <w:bidi w:val="0"/>
        <w:spacing w:before="0" w:after="0"/>
        <w:ind w:left="0" w:right="0" w:hanging="0"/>
        <w:jc w:val="both"/>
        <w:rPr>
          <w:caps w:val="false"/>
          <w:smallCaps w:val="false"/>
        </w:rPr>
      </w:pPr>
      <w:r>
        <w:rPr>
          <w:caps w:val="false"/>
          <w:smallCaps w:val="false"/>
        </w:rPr>
        <w:t> </w:t>
      </w:r>
      <w:bookmarkStart w:id="378" w:name="xdx_8BF_ze19JnI9NT4b"/>
      <w:bookmarkEnd w:id="378"/>
      <w:r>
        <w:rPr>
          <w:rFonts w:ascii="Times New Roman;Times;Serif" w:hAnsi="Times New Roman;Times;Serif"/>
          <w:b w:val="false"/>
          <w:i w:val="false"/>
          <w:caps w:val="false"/>
          <w:smallCaps w:val="false"/>
          <w:sz w:val="20"/>
        </w:rPr>
        <w:t>Schedule of Outstanding Balances</w:t>
      </w:r>
    </w:p>
    <w:tbl>
      <w:tblPr>
        <w:tblW w:w="7143" w:type="dxa"/>
        <w:jc w:val="left"/>
        <w:tblInd w:w="0" w:type="dxa"/>
        <w:tblLayout w:type="fixed"/>
        <w:tblCellMar>
          <w:top w:w="0" w:type="dxa"/>
          <w:left w:w="0" w:type="dxa"/>
          <w:bottom w:w="0" w:type="dxa"/>
          <w:right w:w="0" w:type="dxa"/>
        </w:tblCellMar>
      </w:tblPr>
      <w:tblGrid>
        <w:gridCol w:w="4565"/>
        <w:gridCol w:w="60"/>
        <w:gridCol w:w="519"/>
        <w:gridCol w:w="355"/>
        <w:gridCol w:w="60"/>
        <w:gridCol w:w="60"/>
        <w:gridCol w:w="176"/>
        <w:gridCol w:w="1238"/>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9" w:name="xdx_491_20260630__us-gaap--TypeOfArrange"/>
            <w:bookmarkEnd w:id="379"/>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0" w:name="xdx_49E_20251231__us-gaap--TypeOfArrange"/>
            <w:bookmarkEnd w:id="380"/>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2024 Note:</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1" w:name="xdx_409_ecustom--DebtInstrumentPaymentPr"/>
            <w:bookmarkEnd w:id="381"/>
          </w:p>
        </w:tc>
      </w:tr>
      <w:tr>
        <w:trPr/>
        <w:tc>
          <w:tcPr>
            <w:tcW w:w="4565" w:type="dxa"/>
            <w:tcBorders/>
            <w:shd w:fill="FFFFFF" w:val="clear"/>
            <w:vAlign w:val="center"/>
          </w:tcPr>
          <w:p>
            <w:pPr>
              <w:pStyle w:val="TableContents"/>
              <w:bidi w:val="0"/>
              <w:spacing w:before="0" w:after="283"/>
              <w:jc w:val="left"/>
              <w:rPr/>
            </w:pPr>
            <w:r>
              <w:rPr/>
              <w:t>Principal</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w:t>
            </w:r>
          </w:p>
        </w:tc>
        <w:tc>
          <w:tcPr>
            <w:tcW w:w="3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805,000</w:t>
            </w:r>
          </w:p>
        </w:tc>
        <w:tc>
          <w:tcPr>
            <w:tcW w:w="110" w:type="dxa"/>
            <w:tcBorders/>
            <w:shd w:fill="FFFFFF" w:val="clear"/>
            <w:vAlign w:val="center"/>
          </w:tcPr>
          <w:p>
            <w:pPr>
              <w:pStyle w:val="TableContents"/>
              <w:bidi w:val="0"/>
              <w:spacing w:before="0" w:after="283"/>
              <w:jc w:val="left"/>
              <w:rPr/>
            </w:pPr>
            <w:r>
              <w:rPr/>
              <w:t> </w:t>
            </w:r>
            <w:bookmarkStart w:id="382" w:name="xdx_400_ecustom--DebtInstrumentMonitorin"/>
            <w:bookmarkEnd w:id="382"/>
          </w:p>
        </w:tc>
      </w:tr>
      <w:tr>
        <w:trPr/>
        <w:tc>
          <w:tcPr>
            <w:tcW w:w="4565" w:type="dxa"/>
            <w:tcBorders/>
            <w:shd w:fill="CCEEFF" w:val="clear"/>
            <w:vAlign w:val="center"/>
          </w:tcPr>
          <w:p>
            <w:pPr>
              <w:pStyle w:val="TableContents"/>
              <w:bidi w:val="0"/>
              <w:spacing w:before="0" w:after="283"/>
              <w:jc w:val="left"/>
              <w:rPr/>
            </w:pPr>
            <w:r>
              <w:rPr/>
              <w:t>Monitoring fee on pro rata portion of exchanges</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671,792</w:t>
            </w:r>
          </w:p>
        </w:tc>
        <w:tc>
          <w:tcPr>
            <w:tcW w:w="110" w:type="dxa"/>
            <w:tcBorders/>
            <w:shd w:fill="CCEEFF" w:val="clear"/>
            <w:vAlign w:val="center"/>
          </w:tcPr>
          <w:p>
            <w:pPr>
              <w:pStyle w:val="TableContents"/>
              <w:bidi w:val="0"/>
              <w:spacing w:before="0" w:after="283"/>
              <w:jc w:val="left"/>
              <w:rPr/>
            </w:pPr>
            <w:r>
              <w:rPr/>
              <w:t> </w:t>
            </w:r>
            <w:bookmarkStart w:id="383" w:name="xdx_408_eus-gaap--DebtInstrumentUnamorti"/>
            <w:bookmarkEnd w:id="383"/>
          </w:p>
        </w:tc>
      </w:tr>
      <w:tr>
        <w:trPr/>
        <w:tc>
          <w:tcPr>
            <w:tcW w:w="4565" w:type="dxa"/>
            <w:tcBorders/>
            <w:shd w:fill="FFFFFF" w:val="clear"/>
            <w:vAlign w:val="center"/>
          </w:tcPr>
          <w:p>
            <w:pPr>
              <w:pStyle w:val="TableContents"/>
              <w:bidi w:val="0"/>
              <w:spacing w:before="0" w:after="283"/>
              <w:jc w:val="left"/>
              <w:rPr/>
            </w:pPr>
            <w:r>
              <w:rPr/>
              <w:t>Unamortized discounts/deferred financing</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(83,922</w:t>
            </w:r>
          </w:p>
        </w:tc>
        <w:tc>
          <w:tcPr>
            <w:tcW w:w="110" w:type="dxa"/>
            <w:tcBorders/>
            <w:shd w:fill="FFFFFF" w:val="clear"/>
            <w:vAlign w:val="center"/>
          </w:tcPr>
          <w:p>
            <w:pPr>
              <w:pStyle w:val="TableContents"/>
              <w:bidi w:val="0"/>
              <w:spacing w:before="0" w:after="283"/>
              <w:jc w:val="left"/>
              <w:rPr/>
            </w:pPr>
            <w:r>
              <w:rPr/>
              <w:t>)</w:t>
            </w:r>
            <w:bookmarkStart w:id="384" w:name="xdx_40D_ecustom--DebtInstrumentOutstandi"/>
            <w:bookmarkEnd w:id="384"/>
          </w:p>
        </w:tc>
      </w:tr>
      <w:tr>
        <w:trPr/>
        <w:tc>
          <w:tcPr>
            <w:tcW w:w="4565" w:type="dxa"/>
            <w:tcBorders/>
            <w:shd w:fill="CCEEFF" w:val="clear"/>
            <w:vAlign w:val="center"/>
          </w:tcPr>
          <w:p>
            <w:pPr>
              <w:pStyle w:val="TableContents"/>
              <w:bidi w:val="0"/>
              <w:spacing w:before="0" w:after="283"/>
              <w:jc w:val="left"/>
              <w:rPr/>
            </w:pPr>
            <w:r>
              <w:rPr/>
              <w:t>Total outstanding debt</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1,392,870</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5" w:name="xdx_40F_eus-gaap--InterestPayableCurrent"/>
            <w:bookmarkEnd w:id="385"/>
          </w:p>
        </w:tc>
      </w:tr>
      <w:tr>
        <w:trPr/>
        <w:tc>
          <w:tcPr>
            <w:tcW w:w="456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474,598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B_zpD2I3F0sgni"/>
      <w:bookmarkEnd w:id="3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the Company entered into a note purchase agreement (2025 Note Purchase Agreement) with Avondale Capital, LLC, a Utah limited liability company (Avondale), pursuant to which the Company issued and sold to Avondale an unsecured promissory note in the amount of $</w:t>
      </w:r>
      <w:bookmarkStart w:id="387" w:name="xdx_900_eus-gaap--NotesPayable_iI_c20251"/>
      <w:bookmarkEnd w:id="387"/>
      <w:r>
        <w:rPr>
          <w:rFonts w:ascii="Times New Roman;Times;Serif" w:hAnsi="Times New Roman;Times;Serif"/>
          <w:b w:val="false"/>
          <w:i w:val="false"/>
          <w:caps w:val="false"/>
          <w:smallCaps w:val="false"/>
          <w:sz w:val="20"/>
        </w:rPr>
        <w:t>6,570,000 (2025 Note). The principal amount includes an original issue discount of $</w:t>
      </w:r>
      <w:bookmarkStart w:id="388" w:name="xdx_90D_eus-gaap--DebtInstrumentUnamorti"/>
      <w:bookmarkEnd w:id="388"/>
      <w:r>
        <w:rPr>
          <w:rFonts w:ascii="Times New Roman;Times;Serif" w:hAnsi="Times New Roman;Times;Serif"/>
          <w:b w:val="false"/>
          <w:i w:val="false"/>
          <w:caps w:val="false"/>
          <w:smallCaps w:val="false"/>
          <w:sz w:val="20"/>
        </w:rPr>
        <w:t>540,000 and expenses payable by the Company of $</w:t>
      </w:r>
      <w:bookmarkStart w:id="389" w:name="xdx_905_eus-gaap--InterestPayableCurrent"/>
      <w:bookmarkEnd w:id="389"/>
      <w:r>
        <w:rPr>
          <w:rFonts w:ascii="Times New Roman;Times;Serif" w:hAnsi="Times New Roman;Times;Serif"/>
          <w:b w:val="false"/>
          <w:i w:val="false"/>
          <w:caps w:val="false"/>
          <w:smallCaps w:val="false"/>
          <w:sz w:val="20"/>
        </w:rPr>
        <w:t>30,000. In exchange for the 2025 Note, Avondale paid a purchase price of $</w:t>
      </w:r>
      <w:bookmarkStart w:id="390" w:name="xdx_90B_eus-gaap--Cash_iI_c20251107__us-"/>
      <w:bookmarkEnd w:id="390"/>
      <w:r>
        <w:rPr>
          <w:rFonts w:ascii="Times New Roman;Times;Serif" w:hAnsi="Times New Roman;Times;Serif"/>
          <w:b w:val="false"/>
          <w:i w:val="false"/>
          <w:caps w:val="false"/>
          <w:smallCaps w:val="false"/>
          <w:sz w:val="20"/>
        </w:rPr>
        <w:t xml:space="preserve">6,000,000 in cash. The 2025 Note bears interest at a rate of </w:t>
      </w:r>
      <w:bookmarkStart w:id="391" w:name="xdx_908_eus-gaap--DebtInstrumentInterest"/>
      <w:bookmarkEnd w:id="391"/>
      <w:r>
        <w:rPr>
          <w:rFonts w:ascii="Times New Roman;Times;Serif" w:hAnsi="Times New Roman;Times;Serif"/>
          <w:b w:val="false"/>
          <w:i w:val="false"/>
          <w:caps w:val="false"/>
          <w:smallCaps w:val="false"/>
          <w:sz w:val="20"/>
        </w:rPr>
        <w:t xml:space="preserve">9% per annum and </w:t>
      </w:r>
      <w:bookmarkStart w:id="392" w:name="xdx_907_eus-gaap--DebtInstrumentMaturity"/>
      <w:bookmarkEnd w:id="392"/>
      <w:r>
        <w:rPr>
          <w:rFonts w:ascii="Times New Roman;Times;Serif" w:hAnsi="Times New Roman;Times;Serif"/>
          <w:b w:val="false"/>
          <w:i w:val="false"/>
          <w:caps w:val="false"/>
          <w:smallCaps w:val="false"/>
          <w:sz w:val="20"/>
        </w:rPr>
        <w:t>matures 18 months after its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beginning on May 7, 2026, Avondale may redeem a portion of the 2025 Note, not to exceed an amount of $</w:t>
      </w:r>
      <w:bookmarkStart w:id="393" w:name="xdx_903_eus-gaap--DebtInstrumentPeriodic"/>
      <w:bookmarkEnd w:id="393"/>
      <w:r>
        <w:rPr>
          <w:rFonts w:ascii="Times New Roman;Times;Serif" w:hAnsi="Times New Roman;Times;Serif"/>
          <w:b w:val="false"/>
          <w:i w:val="false"/>
          <w:caps w:val="false"/>
          <w:smallCaps w:val="false"/>
          <w:sz w:val="20"/>
        </w:rPr>
        <w:t xml:space="preserve">660,000 per month. The Company was charged a monitoring fee equal to the outstanding balance </w:t>
      </w:r>
      <w:bookmarkStart w:id="394" w:name="xdx_90B_eus-gaap--DefaultLongtermDebtDes"/>
      <w:bookmarkEnd w:id="394"/>
      <w:r>
        <w:rPr>
          <w:rFonts w:ascii="Times New Roman;Times;Serif" w:hAnsi="Times New Roman;Times;Serif"/>
          <w:b w:val="false"/>
          <w:i w:val="false"/>
          <w:caps w:val="false"/>
          <w:smallCaps w:val="false"/>
          <w:sz w:val="20"/>
        </w:rPr>
        <w:t>on the 90-day anniversary of the effective date of the 2025 Note divided by 0.85 less the outstanding balance on such date. The monitoring fee and interest accrued on the monitoring fee will be forgiven, on a pro rata basis, each time the Company makes a cash payment. Subject to the terms and conditions set forth in the 2025 Note, the Company may prepay all or any portion of the outstanding balance of the 2025 Note at any time. As of June 30, 2026, the Company has entered into several exchange agreements with Avondale to exchange a total of $</w:t>
      </w:r>
      <w:bookmarkStart w:id="395" w:name="xdx_902_eus-gaap--DebtConversionConverte"/>
      <w:bookmarkEnd w:id="395"/>
      <w:r>
        <w:rPr>
          <w:rFonts w:ascii="Times New Roman;Times;Serif" w:hAnsi="Times New Roman;Times;Serif"/>
          <w:b w:val="false"/>
          <w:i w:val="false"/>
          <w:caps w:val="false"/>
          <w:smallCaps w:val="false"/>
          <w:sz w:val="20"/>
        </w:rPr>
        <w:t xml:space="preserve">1,320,000 of principal for </w:t>
      </w:r>
      <w:bookmarkStart w:id="396" w:name="xdx_902_ecustom--StockIssuedDuringPeriod"/>
      <w:bookmarkEnd w:id="396"/>
      <w:r>
        <w:rPr>
          <w:rFonts w:ascii="Times New Roman;Times;Serif" w:hAnsi="Times New Roman;Times;Serif"/>
          <w:b w:val="false"/>
          <w:i w:val="false"/>
          <w:caps w:val="false"/>
          <w:smallCaps w:val="false"/>
          <w:sz w:val="20"/>
        </w:rPr>
        <w:t>147,301 shares of common stock and aggregate cash payments of $</w:t>
      </w:r>
      <w:bookmarkStart w:id="397" w:name="xdx_906_ecustom--StockIssuedDuringPeriod"/>
      <w:bookmarkEnd w:id="397"/>
      <w:r>
        <w:rPr>
          <w:rFonts w:ascii="Times New Roman;Times;Serif" w:hAnsi="Times New Roman;Times;Serif"/>
          <w:b w:val="false"/>
          <w:i w:val="false"/>
          <w:caps w:val="false"/>
          <w:smallCaps w:val="false"/>
          <w:sz w:val="20"/>
        </w:rPr>
        <w:t>660,000, thereby extinguishing a portion of the 2025 Note. In connection with the exchange agreements for common stock, the Company recorded the pro rata portion of the monitoring fee as well as accrued interest on the pro rata portion of the monitoring fee. As of June 30, 2026, the pro rata portion of the monitoring fee of $</w:t>
      </w:r>
      <w:bookmarkStart w:id="398" w:name="xdx_907_eus-gaap--GainsLossesOnExtinguis"/>
      <w:bookmarkEnd w:id="398"/>
      <w:r>
        <w:rPr>
          <w:rFonts w:ascii="Times New Roman;Times;Serif" w:hAnsi="Times New Roman;Times;Serif"/>
          <w:b w:val="false"/>
          <w:i w:val="false"/>
          <w:caps w:val="false"/>
          <w:smallCaps w:val="false"/>
          <w:sz w:val="20"/>
        </w:rPr>
        <w:t>96,475 had been recognized as a loss on debt extinguishment within interest and other income (expense), net and the interest expense on the pro rata portion of the monitoring fee was $</w:t>
      </w:r>
      <w:bookmarkStart w:id="399" w:name="xdx_90E_eus-gaap--InterestPayableCurrent"/>
      <w:bookmarkEnd w:id="399"/>
      <w:r>
        <w:rPr>
          <w:rFonts w:ascii="Times New Roman;Times;Serif" w:hAnsi="Times New Roman;Times;Serif"/>
          <w:b w:val="false"/>
          <w:i w:val="false"/>
          <w:caps w:val="false"/>
          <w:smallCaps w:val="false"/>
          <w:sz w:val="20"/>
        </w:rPr>
        <w:t>3,511. As the redemptions are outside of the control of the Company, the Company has recorded the gross amount of the expected fiscal year 2026 Avondale redemptions within current note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Note provides for customary events of default (each as defined in the 2025 Note, an Event of Default), including, among other things, the event of nonpayment of principal, interest, fees or other amounts, a representation or warranty proving to have been incorrect when made, failure to perform or observe covenants within a specified cure period, a cross-default to certain other indebtedness and material agreements of the Company, and the occurrence of a bankruptcy, insolvency or similar event affecting the Company. </w:t>
      </w:r>
      <w:bookmarkStart w:id="400" w:name="xdx_901_ecustom--DefaultLongtermDebtDesc"/>
      <w:bookmarkEnd w:id="400"/>
      <w:r>
        <w:rPr>
          <w:rFonts w:ascii="Times New Roman;Times;Serif" w:hAnsi="Times New Roman;Times;Serif"/>
          <w:b w:val="false"/>
          <w:i w:val="false"/>
          <w:caps w:val="false"/>
          <w:smallCaps w:val="false"/>
          <w:sz w:val="20"/>
        </w:rPr>
        <w:t>Upon the occurrence of an Event of Default that is deemed a “Major Trigger Event” as defined in the promissory note, Avondale may increase the outstanding balance of the 2025 Note by 15%, and upon the occurrence of an Event of Default that is deemed a “Minor Trigger Event” as defined in the 2025 Note, Avondale may increase the outstanding balance of the 2025 Note by 5%. Avondale can exercise its right to increase the outstanding balance upon a Major or Minor Trigger Event three times each. Upon the occurrence of an Event of Default, Avondale may declare all amounts owed under the 2025 Note immediately due and payable. In addition, upon the occurrence of an Event of Default, upon the election of Avondale, interest shall begin accruing on the outstanding balance of the 2025 Note from the date of the Event of Default equal to the lesser of 22% per annum and the maximum rate allowable under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discount of $</w:t>
      </w:r>
      <w:bookmarkStart w:id="401" w:name="xdx_90B_ecustom--DebtInstrumentOriginalD"/>
      <w:bookmarkEnd w:id="401"/>
      <w:r>
        <w:rPr>
          <w:rFonts w:ascii="Times New Roman;Times;Serif" w:hAnsi="Times New Roman;Times;Serif"/>
          <w:b w:val="false"/>
          <w:i w:val="false"/>
          <w:caps w:val="false"/>
          <w:smallCaps w:val="false"/>
          <w:sz w:val="20"/>
        </w:rPr>
        <w:t>540,000 and the expenses payable by the Company of $</w:t>
      </w:r>
      <w:bookmarkStart w:id="402" w:name="xdx_90A_ecustom--LenderExpensesOnIssueOf"/>
      <w:bookmarkEnd w:id="402"/>
      <w:r>
        <w:rPr>
          <w:rFonts w:ascii="Times New Roman;Times;Serif" w:hAnsi="Times New Roman;Times;Serif"/>
          <w:b w:val="false"/>
          <w:i w:val="false"/>
          <w:caps w:val="false"/>
          <w:smallCaps w:val="false"/>
          <w:sz w:val="20"/>
        </w:rPr>
        <w:t>30,000 have been recorded as a reduction in the carrying amount of the 2025 Note and are being amortized over the term of the 2025 Note using the effective interest rate method. The Company wrote-off a pro-rate portion of the debt issuance costs and debt discount in connection with the debt extinguishments described above and recognized as a loss on debt extinguishment within interest and other income (expense), net of $</w:t>
      </w:r>
      <w:bookmarkStart w:id="403" w:name="xdx_900_eus-gaap--GainsLossesOnExtinguis"/>
      <w:bookmarkEnd w:id="403"/>
      <w:r>
        <w:rPr>
          <w:rFonts w:ascii="Times New Roman;Times;Serif" w:hAnsi="Times New Roman;Times;Serif"/>
          <w:b w:val="false"/>
          <w:i w:val="false"/>
          <w:caps w:val="false"/>
          <w:smallCaps w:val="false"/>
          <w:sz w:val="20"/>
        </w:rPr>
        <w:t>55,644. As of June 30, 2026, the aggregate amount of unamortized debt discount and debt issuance costs was $</w:t>
      </w:r>
      <w:bookmarkStart w:id="404" w:name="xdx_90E_eus-gaap--DebtInstrumentUnamorti"/>
      <w:bookmarkEnd w:id="404"/>
      <w:r>
        <w:rPr>
          <w:rFonts w:ascii="Times New Roman;Times;Serif" w:hAnsi="Times New Roman;Times;Serif"/>
          <w:b w:val="false"/>
          <w:i w:val="false"/>
          <w:caps w:val="false"/>
          <w:smallCaps w:val="false"/>
          <w:sz w:val="20"/>
        </w:rPr>
        <w:t>279,182.</w:t>
      </w:r>
    </w:p>
    <w:p>
      <w:pPr>
        <w:pStyle w:val="TextBody"/>
        <w:bidi w:val="0"/>
        <w:spacing w:before="0" w:after="0"/>
        <w:ind w:left="0" w:right="0" w:hanging="0"/>
        <w:jc w:val="both"/>
        <w:rPr>
          <w:caps w:val="false"/>
          <w:smallCaps w:val="false"/>
        </w:rPr>
      </w:pPr>
      <w:bookmarkStart w:id="405" w:name="xdx_C0D_gL3SODTTB-ZBMRSQ_z4BeO99giaG6"/>
      <w:bookmarkEnd w:id="40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outstanding balances relating to the 2025 Note were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6" w:name="xdx_300_134_z30fTGDwpHCk"/>
      <w:bookmarkStart w:id="407" w:name="xdx_300_134_z30fTGDwpHCk"/>
      <w:bookmarkEnd w:id="407"/>
    </w:p>
    <w:tbl>
      <w:tblPr>
        <w:tblW w:w="7424" w:type="dxa"/>
        <w:jc w:val="left"/>
        <w:tblInd w:w="0" w:type="dxa"/>
        <w:tblLayout w:type="fixed"/>
        <w:tblCellMar>
          <w:top w:w="0" w:type="dxa"/>
          <w:left w:w="0" w:type="dxa"/>
          <w:bottom w:w="0" w:type="dxa"/>
          <w:right w:w="0" w:type="dxa"/>
        </w:tblCellMar>
      </w:tblPr>
      <w:tblGrid>
        <w:gridCol w:w="4565"/>
        <w:gridCol w:w="60"/>
        <w:gridCol w:w="140"/>
        <w:gridCol w:w="980"/>
        <w:gridCol w:w="95"/>
        <w:gridCol w:w="60"/>
        <w:gridCol w:w="176"/>
        <w:gridCol w:w="1238"/>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8" w:name="xdx_493_20260630__us-gaap--TypeOfArrange"/>
            <w:bookmarkEnd w:id="408"/>
          </w:p>
        </w:tc>
        <w:tc>
          <w:tcPr>
            <w:tcW w:w="112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9" w:name="xdx_495_20251231__us-gaap--TypeOfArrange"/>
            <w:bookmarkEnd w:id="409"/>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2025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0" w:name="xdx_405_ecustom--DebtInstrumentPaymentPr"/>
            <w:bookmarkEnd w:id="410"/>
          </w:p>
        </w:tc>
      </w:tr>
      <w:tr>
        <w:trPr/>
        <w:tc>
          <w:tcPr>
            <w:tcW w:w="4565" w:type="dxa"/>
            <w:tcBorders/>
            <w:shd w:fill="FFFFFF" w:val="clear"/>
            <w:vAlign w:val="center"/>
          </w:tcPr>
          <w:p>
            <w:pPr>
              <w:pStyle w:val="TableContents"/>
              <w:bidi w:val="0"/>
              <w:spacing w:before="0" w:after="283"/>
              <w:jc w:val="left"/>
              <w:rPr/>
            </w:pPr>
            <w:r>
              <w:rPr/>
              <w:t>Principal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6,570,000</w:t>
            </w:r>
          </w:p>
        </w:tc>
        <w:tc>
          <w:tcPr>
            <w:tcW w:w="110" w:type="dxa"/>
            <w:tcBorders/>
            <w:shd w:fill="FFFFFF" w:val="clear"/>
            <w:vAlign w:val="center"/>
          </w:tcPr>
          <w:p>
            <w:pPr>
              <w:pStyle w:val="TableContents"/>
              <w:bidi w:val="0"/>
              <w:spacing w:before="0" w:after="283"/>
              <w:jc w:val="left"/>
              <w:rPr/>
            </w:pPr>
            <w:r>
              <w:rPr/>
              <w:t> </w:t>
            </w:r>
            <w:bookmarkStart w:id="411" w:name="xdx_403_ecustom--DebtInstrumentMonitorin"/>
            <w:bookmarkEnd w:id="411"/>
          </w:p>
        </w:tc>
      </w:tr>
      <w:tr>
        <w:trPr/>
        <w:tc>
          <w:tcPr>
            <w:tcW w:w="4565" w:type="dxa"/>
            <w:tcBorders/>
            <w:shd w:fill="CCEEFF" w:val="clear"/>
            <w:vAlign w:val="center"/>
          </w:tcPr>
          <w:p>
            <w:pPr>
              <w:pStyle w:val="TableContents"/>
              <w:bidi w:val="0"/>
              <w:spacing w:before="0" w:after="283"/>
              <w:jc w:val="left"/>
              <w:rPr/>
            </w:pPr>
            <w:r>
              <w:rPr/>
              <w:t>Monitoring fee on pro rata portion of exchanges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12" w:name="xdx_409_eus-gaap--DebtInstrumentUnamorti"/>
            <w:bookmarkEnd w:id="412"/>
          </w:p>
        </w:tc>
      </w:tr>
      <w:tr>
        <w:trPr/>
        <w:tc>
          <w:tcPr>
            <w:tcW w:w="4565" w:type="dxa"/>
            <w:tcBorders/>
            <w:shd w:fill="FFFFFF" w:val="clear"/>
            <w:vAlign w:val="center"/>
          </w:tcPr>
          <w:p>
            <w:pPr>
              <w:pStyle w:val="TableContents"/>
              <w:bidi w:val="0"/>
              <w:spacing w:before="0" w:after="283"/>
              <w:jc w:val="left"/>
              <w:rPr/>
            </w:pPr>
            <w:r>
              <w:rPr/>
              <w:t>Unamortized discounts/deferred financing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(279,182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(515,401</w:t>
            </w:r>
          </w:p>
        </w:tc>
        <w:tc>
          <w:tcPr>
            <w:tcW w:w="110" w:type="dxa"/>
            <w:tcBorders/>
            <w:shd w:fill="FFFFFF" w:val="clear"/>
            <w:vAlign w:val="center"/>
          </w:tcPr>
          <w:p>
            <w:pPr>
              <w:pStyle w:val="TableContents"/>
              <w:bidi w:val="0"/>
              <w:spacing w:before="0" w:after="283"/>
              <w:jc w:val="left"/>
              <w:rPr/>
            </w:pPr>
            <w:r>
              <w:rPr/>
              <w:t>)</w:t>
            </w:r>
            <w:bookmarkStart w:id="413" w:name="xdx_40F_ecustom--DebtInstrumentOutstandi"/>
            <w:bookmarkEnd w:id="413"/>
          </w:p>
        </w:tc>
      </w:tr>
      <w:tr>
        <w:trPr/>
        <w:tc>
          <w:tcPr>
            <w:tcW w:w="45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5,067,293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6,054,599</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14" w:name="xdx_401_eus-gaap--InterestPayableCurrent"/>
            <w:bookmarkEnd w:id="414"/>
          </w:p>
        </w:tc>
      </w:tr>
      <w:tr>
        <w:trPr/>
        <w:tc>
          <w:tcPr>
            <w:tcW w:w="456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388,702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89,285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15" w:name="xdx_C02_gL3SODTTB-ZBMRSQ_zNBAljB9USK4"/>
      <w:bookmarkEnd w:id="4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6" w:name="xdx_896_eus-gaap--InterestIncomeAndInter"/>
      <w:bookmarkEnd w:id="416"/>
      <w:r>
        <w:rPr>
          <w:rFonts w:ascii="Times New Roman;Times;Serif" w:hAnsi="Times New Roman;Times;Serif"/>
          <w:b w:val="false"/>
          <w:i w:val="false"/>
          <w:caps w:val="false"/>
          <w:smallCaps w:val="false"/>
          <w:sz w:val="20"/>
        </w:rPr>
        <w:t>The following table provides a breakdown of interest expense (income) for the periods presented:</w:t>
      </w:r>
    </w:p>
    <w:p>
      <w:pPr>
        <w:pStyle w:val="TextBody"/>
        <w:bidi w:val="0"/>
        <w:spacing w:before="0" w:after="0"/>
        <w:ind w:left="0" w:right="0" w:hanging="0"/>
        <w:jc w:val="both"/>
        <w:rPr>
          <w:caps w:val="false"/>
          <w:smallCaps w:val="false"/>
        </w:rPr>
      </w:pPr>
      <w:r>
        <w:rPr>
          <w:caps w:val="false"/>
          <w:smallCaps w:val="false"/>
        </w:rPr>
        <w:t> </w:t>
      </w:r>
      <w:bookmarkStart w:id="417" w:name="xdx_8B8_zV8sWMYIc4ue"/>
      <w:bookmarkEnd w:id="417"/>
      <w:r>
        <w:rPr>
          <w:rFonts w:ascii="Times New Roman;Times;Serif" w:hAnsi="Times New Roman;Times;Serif"/>
          <w:b w:val="false"/>
          <w:i w:val="false"/>
          <w:caps w:val="false"/>
          <w:smallCaps w:val="false"/>
          <w:sz w:val="20"/>
        </w:rPr>
        <w:t>Schedule of Interest Expense (Income)</w:t>
      </w:r>
    </w:p>
    <w:tbl>
      <w:tblPr>
        <w:tblW w:w="10205" w:type="dxa"/>
        <w:jc w:val="left"/>
        <w:tblInd w:w="0" w:type="dxa"/>
        <w:tblLayout w:type="fixed"/>
        <w:tblCellMar>
          <w:top w:w="0" w:type="dxa"/>
          <w:left w:w="0" w:type="dxa"/>
          <w:bottom w:w="0" w:type="dxa"/>
          <w:right w:w="0" w:type="dxa"/>
        </w:tblCellMar>
      </w:tblPr>
      <w:tblGrid>
        <w:gridCol w:w="4093"/>
        <w:gridCol w:w="60"/>
        <w:gridCol w:w="200"/>
        <w:gridCol w:w="1254"/>
        <w:gridCol w:w="135"/>
        <w:gridCol w:w="85"/>
        <w:gridCol w:w="200"/>
        <w:gridCol w:w="1147"/>
        <w:gridCol w:w="95"/>
        <w:gridCol w:w="60"/>
        <w:gridCol w:w="177"/>
        <w:gridCol w:w="1106"/>
        <w:gridCol w:w="119"/>
        <w:gridCol w:w="75"/>
        <w:gridCol w:w="177"/>
        <w:gridCol w:w="1106"/>
        <w:gridCol w:w="116"/>
      </w:tblGrid>
      <w:tr>
        <w:trPr/>
        <w:tc>
          <w:tcPr>
            <w:tcW w:w="4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F_20260401__20260630_zMg9rEsgN0ya"/>
            <w:bookmarkEnd w:id="418"/>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bookmarkStart w:id="419" w:name="xdx_496_20250401__20250630_zRCxA2LHB6l6"/>
            <w:bookmarkEnd w:id="419"/>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9_20260101__20260630_z1Z67KGGKbxj"/>
            <w:bookmarkEnd w:id="420"/>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21" w:name="xdx_497_20250101__20250630_zLRhd1UI2qrk"/>
            <w:bookmarkEnd w:id="421"/>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4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bookmarkStart w:id="422" w:name="xdx_40B_eus-gaap--InterestExpenseDebt_zO"/>
            <w:bookmarkEnd w:id="422"/>
          </w:p>
        </w:tc>
      </w:tr>
      <w:tr>
        <w:trPr/>
        <w:tc>
          <w:tcPr>
            <w:tcW w:w="4093" w:type="dxa"/>
            <w:tcBorders/>
            <w:shd w:fill="CCEEFF" w:val="clear"/>
            <w:vAlign w:val="center"/>
          </w:tcPr>
          <w:p>
            <w:pPr>
              <w:pStyle w:val="TableContents"/>
              <w:bidi w:val="0"/>
              <w:spacing w:before="0" w:after="283"/>
              <w:jc w:val="left"/>
              <w:rPr/>
            </w:pPr>
            <w:r>
              <w:rPr/>
              <w:t>Interest expense - promissory notes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236,375</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213,711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584,690</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423,382</w:t>
            </w:r>
          </w:p>
        </w:tc>
        <w:tc>
          <w:tcPr>
            <w:tcW w:w="116" w:type="dxa"/>
            <w:tcBorders/>
            <w:shd w:fill="CCEEFF" w:val="clear"/>
            <w:vAlign w:val="center"/>
          </w:tcPr>
          <w:p>
            <w:pPr>
              <w:pStyle w:val="TableContents"/>
              <w:bidi w:val="0"/>
              <w:spacing w:before="0" w:after="283"/>
              <w:jc w:val="left"/>
              <w:rPr/>
            </w:pPr>
            <w:r>
              <w:rPr/>
              <w:t> </w:t>
            </w:r>
            <w:bookmarkStart w:id="423" w:name="xdx_406_eus-gaap--GainsLossesOnExtinguis"/>
            <w:bookmarkEnd w:id="423"/>
          </w:p>
        </w:tc>
      </w:tr>
      <w:tr>
        <w:trPr/>
        <w:tc>
          <w:tcPr>
            <w:tcW w:w="4093" w:type="dxa"/>
            <w:tcBorders/>
            <w:shd w:fill="FFFFFF" w:val="clear"/>
            <w:vAlign w:val="center"/>
          </w:tcPr>
          <w:p>
            <w:pPr>
              <w:pStyle w:val="TableContents"/>
              <w:bidi w:val="0"/>
              <w:spacing w:before="0" w:after="283"/>
              <w:jc w:val="left"/>
              <w:rPr/>
            </w:pPr>
            <w:r>
              <w:rPr/>
              <w:t>Interest expense - loss on debt extinguishment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152,119</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488,900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424" w:name="xdx_403_eus-gaap--InterestExpenseOther_h"/>
            <w:bookmarkEnd w:id="424"/>
          </w:p>
        </w:tc>
      </w:tr>
      <w:tr>
        <w:trPr/>
        <w:tc>
          <w:tcPr>
            <w:tcW w:w="4093" w:type="dxa"/>
            <w:tcBorders/>
            <w:shd w:fill="CCEEFF" w:val="clear"/>
            <w:vAlign w:val="center"/>
          </w:tcPr>
          <w:p>
            <w:pPr>
              <w:pStyle w:val="TableContents"/>
              <w:bidi w:val="0"/>
              <w:spacing w:before="0" w:after="283"/>
              <w:jc w:val="left"/>
              <w:rPr/>
            </w:pPr>
            <w:r>
              <w:rPr/>
              <w:t>Interest expense - other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803</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16,295</w:t>
            </w:r>
          </w:p>
        </w:tc>
        <w:tc>
          <w:tcPr>
            <w:tcW w:w="116" w:type="dxa"/>
            <w:tcBorders/>
            <w:shd w:fill="CCEEFF" w:val="clear"/>
            <w:vAlign w:val="center"/>
          </w:tcPr>
          <w:p>
            <w:pPr>
              <w:pStyle w:val="TableContents"/>
              <w:bidi w:val="0"/>
              <w:spacing w:before="0" w:after="283"/>
              <w:jc w:val="left"/>
              <w:rPr/>
            </w:pPr>
            <w:r>
              <w:rPr/>
              <w:t> </w:t>
            </w:r>
            <w:bookmarkStart w:id="425" w:name="xdx_406_eus-gaap--InterestIncomeOther_iN"/>
            <w:bookmarkEnd w:id="425"/>
          </w:p>
        </w:tc>
      </w:tr>
      <w:tr>
        <w:trPr/>
        <w:tc>
          <w:tcPr>
            <w:tcW w:w="409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8" w:space="0" w:color="000000"/>
            </w:tcBorders>
            <w:shd w:fill="FFFFFF" w:val="clear"/>
            <w:tcMar>
              <w:bottom w:w="28" w:type="dxa"/>
            </w:tcMar>
            <w:vAlign w:val="center"/>
          </w:tcPr>
          <w:p>
            <w:pPr>
              <w:pStyle w:val="TableContents"/>
              <w:bidi w:val="0"/>
              <w:spacing w:before="0" w:after="283"/>
              <w:jc w:val="right"/>
              <w:rPr/>
            </w:pPr>
            <w:r>
              <w:rPr/>
              <w:t>(249,981</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(93,031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(407,613</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(205,963</w:t>
            </w:r>
          </w:p>
        </w:tc>
        <w:tc>
          <w:tcPr>
            <w:tcW w:w="116" w:type="dxa"/>
            <w:tcBorders/>
            <w:shd w:fill="FFFFFF" w:val="clear"/>
            <w:vAlign w:val="center"/>
          </w:tcPr>
          <w:p>
            <w:pPr>
              <w:pStyle w:val="TableContents"/>
              <w:bidi w:val="0"/>
              <w:spacing w:before="0" w:after="283"/>
              <w:jc w:val="left"/>
              <w:rPr/>
            </w:pPr>
            <w:r>
              <w:rPr/>
              <w:t>)</w:t>
            </w:r>
            <w:bookmarkStart w:id="426" w:name="xdx_400_eus-gaap--InterestIncomeExpenseN"/>
            <w:bookmarkEnd w:id="426"/>
          </w:p>
        </w:tc>
      </w:tr>
      <w:tr>
        <w:trPr/>
        <w:tc>
          <w:tcPr>
            <w:tcW w:w="4093" w:type="dxa"/>
            <w:tcBorders/>
            <w:shd w:fill="CCEEFF" w:val="clear"/>
            <w:vAlign w:val="center"/>
          </w:tcPr>
          <w:p>
            <w:pPr>
              <w:pStyle w:val="TableContents"/>
              <w:bidi w:val="0"/>
              <w:spacing w:before="0" w:after="283"/>
              <w:jc w:val="left"/>
              <w:rPr/>
            </w:pPr>
            <w:r>
              <w:rPr>
                <w:rFonts w:ascii="Times New Roman;Times;Serif" w:hAnsi="Times New Roman;Times;Serif"/>
                <w:sz w:val="20"/>
              </w:rPr>
              <w:t>Total</w:t>
            </w: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138,513</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136,930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666,780</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233,714</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7" w:name="xdx_8AB_zSPHriHm2Bs8"/>
      <w:bookmarkEnd w:id="4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8" w:name="xdx_80E_eus-gaap--StockholdersEquityNote"/>
      <w:bookmarkEnd w:id="428"/>
      <w:r>
        <w:rPr>
          <w:rFonts w:ascii="Times New Roman;Times;Serif" w:hAnsi="Times New Roman;Times;Serif"/>
          <w:b/>
          <w:i w:val="false"/>
          <w:caps w:val="false"/>
          <w:smallCaps w:val="false"/>
          <w:sz w:val="20"/>
        </w:rPr>
        <w:t xml:space="preserve">(8) </w:t>
      </w:r>
      <w:bookmarkStart w:id="429" w:name="xdx_827_zE04wM28QDpj"/>
      <w:bookmarkEnd w:id="429"/>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430" w:name="xdx_907_eus-gaap--CommonStockSharesAutho"/>
      <w:bookmarkStart w:id="431" w:name="xdx_909_eus-gaap--CommonStockSharesAutho"/>
      <w:bookmarkEnd w:id="430"/>
      <w:bookmarkEnd w:id="431"/>
      <w:r>
        <w:rPr>
          <w:rFonts w:ascii="Times New Roman;Times;Serif" w:hAnsi="Times New Roman;Times;Serif"/>
          <w:b w:val="false"/>
          <w:i w:val="false"/>
          <w:caps w:val="false"/>
          <w:smallCaps w:val="false"/>
          <w:sz w:val="20"/>
        </w:rPr>
        <w:t>240,000,000 shares of $</w:t>
      </w:r>
      <w:bookmarkStart w:id="432" w:name="xdx_90B_eus-gaap--CommonStockParOrStated"/>
      <w:bookmarkStart w:id="433" w:name="xdx_90C_eus-gaap--CommonStockParOrStated"/>
      <w:bookmarkEnd w:id="432"/>
      <w:bookmarkEnd w:id="433"/>
      <w:r>
        <w:rPr>
          <w:rFonts w:ascii="Times New Roman;Times;Serif" w:hAnsi="Times New Roman;Times;Serif"/>
          <w:b w:val="false"/>
          <w:i w:val="false"/>
          <w:caps w:val="false"/>
          <w:smallCaps w:val="false"/>
          <w:sz w:val="20"/>
        </w:rPr>
        <w:t xml:space="preserve">0.0001 par value common stock and </w:t>
      </w:r>
      <w:bookmarkStart w:id="434" w:name="xdx_90E_eus-gaap--PreferredStockSharesAu"/>
      <w:bookmarkStart w:id="435" w:name="xdx_907_eus-gaap--PreferredStockSharesAu"/>
      <w:bookmarkEnd w:id="434"/>
      <w:bookmarkEnd w:id="435"/>
      <w:r>
        <w:rPr>
          <w:rFonts w:ascii="Times New Roman;Times;Serif" w:hAnsi="Times New Roman;Times;Serif"/>
          <w:b w:val="false"/>
          <w:i w:val="false"/>
          <w:caps w:val="false"/>
          <w:smallCaps w:val="false"/>
          <w:sz w:val="20"/>
        </w:rPr>
        <w:t>10,000,000 shares of $</w:t>
      </w:r>
      <w:bookmarkStart w:id="436" w:name="xdx_909_eus-gaap--PreferredStockParOrSta"/>
      <w:bookmarkStart w:id="437" w:name="xdx_90E_eus-gaap--PreferredStockParOrSta"/>
      <w:bookmarkEnd w:id="436"/>
      <w:bookmarkEnd w:id="437"/>
      <w:r>
        <w:rPr>
          <w:rFonts w:ascii="Times New Roman;Times;Serif" w:hAnsi="Times New Roman;Times;Serif"/>
          <w:b w:val="false"/>
          <w:i w:val="false"/>
          <w:caps w:val="false"/>
          <w:smallCaps w:val="false"/>
          <w:sz w:val="20"/>
        </w:rPr>
        <w:t xml:space="preserve">0.0001 par value preferred stock at June 30, 2026 and December 31, 2025, of which </w:t>
      </w:r>
      <w:bookmarkStart w:id="438" w:name="xdx_906_eus-gaap--CommonStockSharesOutst"/>
      <w:bookmarkStart w:id="439" w:name="xdx_90A_eus-gaap--CommonStockSharesIssue"/>
      <w:bookmarkEnd w:id="438"/>
      <w:bookmarkEnd w:id="439"/>
      <w:r>
        <w:rPr>
          <w:rFonts w:ascii="Times New Roman;Times;Serif" w:hAnsi="Times New Roman;Times;Serif"/>
          <w:b w:val="false"/>
          <w:i w:val="false"/>
          <w:caps w:val="false"/>
          <w:smallCaps w:val="false"/>
          <w:sz w:val="20"/>
        </w:rPr>
        <w:t xml:space="preserve">13,894,882 and </w:t>
      </w:r>
      <w:bookmarkStart w:id="440" w:name="xdx_900_eus-gaap--CommonStockSharesOutst"/>
      <w:bookmarkStart w:id="441" w:name="xdx_905_eus-gaap--CommonStockSharesIssue"/>
      <w:bookmarkEnd w:id="440"/>
      <w:bookmarkEnd w:id="441"/>
      <w:r>
        <w:rPr>
          <w:rFonts w:ascii="Times New Roman;Times;Serif" w:hAnsi="Times New Roman;Times;Serif"/>
          <w:b w:val="false"/>
          <w:i w:val="false"/>
          <w:caps w:val="false"/>
          <w:smallCaps w:val="false"/>
          <w:sz w:val="20"/>
        </w:rPr>
        <w:t>7,250,299 shares of common stock were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defined in Note 9), on February 13, 2026, the Company issued 954 shares of non-voting, Series A convertible preferred stock, par value of $</w:t>
      </w:r>
      <w:bookmarkStart w:id="442" w:name="xdx_90B_eus-gaap--PreferredStockParOrSta"/>
      <w:bookmarkEnd w:id="442"/>
      <w:r>
        <w:rPr>
          <w:rFonts w:ascii="Times New Roman;Times;Serif" w:hAnsi="Times New Roman;Times;Serif"/>
          <w:b w:val="false"/>
          <w:i w:val="false"/>
          <w:caps w:val="false"/>
          <w:smallCaps w:val="false"/>
          <w:sz w:val="20"/>
        </w:rPr>
        <w:t>.001 and stated value of $</w:t>
      </w:r>
      <w:bookmarkStart w:id="443" w:name="xdx_902_ecustom--PreferredStockStatedVal"/>
      <w:bookmarkEnd w:id="443"/>
      <w:r>
        <w:rPr>
          <w:rFonts w:ascii="Times New Roman;Times;Serif" w:hAnsi="Times New Roman;Times;Serif"/>
          <w:b w:val="false"/>
          <w:i w:val="false"/>
          <w:caps w:val="false"/>
          <w:smallCaps w:val="false"/>
          <w:sz w:val="20"/>
        </w:rPr>
        <w:t xml:space="preserve">1,000. The preferred shares were entitled to receive a dividend of </w:t>
      </w:r>
      <w:bookmarkStart w:id="444" w:name="xdx_90B_eus-gaap--PreferredStockDividend"/>
      <w:bookmarkEnd w:id="444"/>
      <w:r>
        <w:rPr>
          <w:rFonts w:ascii="Times New Roman;Times;Serif" w:hAnsi="Times New Roman;Times;Serif"/>
          <w:b w:val="false"/>
          <w:i w:val="false"/>
          <w:caps w:val="false"/>
          <w:smallCaps w:val="false"/>
          <w:sz w:val="20"/>
        </w:rPr>
        <w:t xml:space="preserve">12% per annum. The preferred stock plus accrued dividends automatically converted into </w:t>
      </w:r>
      <w:bookmarkStart w:id="445" w:name="xdx_901_eus-gaap--ConversionOfStockShare"/>
      <w:bookmarkEnd w:id="445"/>
      <w:r>
        <w:rPr>
          <w:rFonts w:ascii="Times New Roman;Times;Serif" w:hAnsi="Times New Roman;Times;Serif"/>
          <w:b w:val="false"/>
          <w:i w:val="false"/>
          <w:caps w:val="false"/>
          <w:smallCaps w:val="false"/>
          <w:sz w:val="20"/>
        </w:rPr>
        <w:t>191,824 shares of common stock on March 24, 2026 at a conversion price of $</w:t>
      </w:r>
      <w:bookmarkStart w:id="446" w:name="xdx_90D_eus-gaap--PreferredStockConverti"/>
      <w:bookmarkEnd w:id="446"/>
      <w:r>
        <w:rPr>
          <w:rFonts w:ascii="Times New Roman;Times;Serif" w:hAnsi="Times New Roman;Times;Serif"/>
          <w:b w:val="false"/>
          <w:i w:val="false"/>
          <w:caps w:val="false"/>
          <w:smallCaps w:val="false"/>
          <w:sz w:val="20"/>
        </w:rPr>
        <w:t>5.04 upon shareholder approval of the transaction at a special meeting of shareholders on March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are entitled to one vote for each share of common stock. In the event of any voluntary or involuntary liquidation, dissolution or winding up of the Company, after the payment or provision for payment of all debts and liabilities of the Company, the holders of common stock shall be entitled to share in the remaining assets of the Company available for distribution, if any. Holders of shares of common stock are entitled to dividends when, as and if declared by the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7" w:name="xdx_80E_ecustom--SaleOfCommonStockTextBl"/>
      <w:bookmarkEnd w:id="447"/>
      <w:r>
        <w:rPr>
          <w:rFonts w:ascii="Times New Roman;Times;Serif" w:hAnsi="Times New Roman;Times;Serif"/>
          <w:b/>
          <w:i w:val="false"/>
          <w:caps w:val="false"/>
          <w:smallCaps w:val="false"/>
          <w:sz w:val="20"/>
        </w:rPr>
        <w:t xml:space="preserve">(9) </w:t>
      </w:r>
      <w:bookmarkStart w:id="448" w:name="xdx_82D_zVRGGeDlp2Rh"/>
      <w:bookmarkEnd w:id="448"/>
      <w:r>
        <w:rPr>
          <w:rFonts w:ascii="Times New Roman;Times;Serif" w:hAnsi="Times New Roman;Times;Serif"/>
          <w:b/>
          <w:i w:val="false"/>
          <w:caps w:val="false"/>
          <w:smallCaps w:val="false"/>
          <w:sz w:val="20"/>
        </w:rPr>
        <w:t>Securities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At-the-Market Agreement (2023 ATM Agreement) with H.C. Wainwright &amp; Co., LLC (HCW) in January 2023, as amended in May 2023, pursuant to which the Company could issue and sell, from time to time, shares of the Company’s common stock having an aggregate offering price of up to $</w:t>
      </w:r>
      <w:bookmarkStart w:id="449" w:name="xdx_903_eus-gaap--ProceedsFromIssuanceOf"/>
      <w:bookmarkEnd w:id="449"/>
      <w:r>
        <w:rPr>
          <w:rFonts w:ascii="Times New Roman;Times;Serif" w:hAnsi="Times New Roman;Times;Serif"/>
          <w:b w:val="false"/>
          <w:i w:val="false"/>
          <w:caps w:val="false"/>
          <w:smallCaps w:val="false"/>
          <w:sz w:val="20"/>
        </w:rPr>
        <w:t xml:space="preserve">31.9 million in at-the-market offering sales. HCW acted as sales agent and was paid a </w:t>
      </w:r>
      <w:bookmarkStart w:id="450" w:name="xdx_909_eus-gaap--SaleOfStockPercentageO"/>
      <w:bookmarkEnd w:id="450"/>
      <w:r>
        <w:rPr>
          <w:rFonts w:ascii="Times New Roman;Times;Serif" w:hAnsi="Times New Roman;Times;Serif"/>
          <w:b w:val="false"/>
          <w:i w:val="false"/>
          <w:caps w:val="false"/>
          <w:smallCaps w:val="false"/>
          <w:sz w:val="20"/>
        </w:rPr>
        <w:t>3% commission on each sale under the 2023 ATM Agreement. The Company’s common stock was sold at prevailing market prices at the time of the sale, and, as a result, prices varied. The Company terminated the 2023 ATM Agreement, effective March 23,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2025, the Company sold </w:t>
      </w:r>
      <w:bookmarkStart w:id="451" w:name="xdx_900_eus-gaap--SaleOfStockNumberOfSha"/>
      <w:bookmarkEnd w:id="451"/>
      <w:r>
        <w:rPr>
          <w:rFonts w:ascii="Times New Roman;Times;Serif" w:hAnsi="Times New Roman;Times;Serif"/>
          <w:b w:val="false"/>
          <w:i w:val="false"/>
          <w:caps w:val="false"/>
          <w:smallCaps w:val="false"/>
          <w:sz w:val="20"/>
        </w:rPr>
        <w:t>364,963 shares of common stock under the 2023 ATM Agreement, for net proceeds of $</w:t>
      </w:r>
      <w:bookmarkStart w:id="452" w:name="xdx_90C_eus-gaap--ProceedsFromIssuanceOf"/>
      <w:bookmarkEnd w:id="452"/>
      <w:r>
        <w:rPr>
          <w:rFonts w:ascii="Times New Roman;Times;Serif" w:hAnsi="Times New Roman;Times;Serif"/>
          <w:b w:val="false"/>
          <w:i w:val="false"/>
          <w:caps w:val="false"/>
          <w:smallCaps w:val="false"/>
          <w:sz w:val="20"/>
        </w:rPr>
        <w:t xml:space="preserve">1,578,731. During the six months ended June 30, 2026 and 2025, the Company sold </w:t>
      </w:r>
      <w:bookmarkStart w:id="453" w:name="xdx_907_eus-gaap--SaleOfStockNumberOfSha"/>
      <w:bookmarkEnd w:id="453"/>
      <w:r>
        <w:rPr>
          <w:rFonts w:ascii="Times New Roman;Times;Serif" w:hAnsi="Times New Roman;Times;Serif"/>
          <w:b w:val="false"/>
          <w:i w:val="false"/>
          <w:caps w:val="false"/>
          <w:smallCaps w:val="false"/>
          <w:sz w:val="20"/>
        </w:rPr>
        <w:t xml:space="preserve">210,158 and </w:t>
      </w:r>
      <w:bookmarkStart w:id="454" w:name="xdx_90A_eus-gaap--SaleOfStockNumberOfSha"/>
      <w:bookmarkEnd w:id="454"/>
      <w:r>
        <w:rPr>
          <w:rFonts w:ascii="Times New Roman;Times;Serif" w:hAnsi="Times New Roman;Times;Serif"/>
          <w:b w:val="false"/>
          <w:i w:val="false"/>
          <w:caps w:val="false"/>
          <w:smallCaps w:val="false"/>
          <w:sz w:val="20"/>
        </w:rPr>
        <w:t>565,447 shares of common stock, respectively, under the 2023 ATM Agreement, for net proceeds of $</w:t>
      </w:r>
      <w:bookmarkStart w:id="455" w:name="xdx_905_eus-gaap--ProceedsFromIssuanceOf"/>
      <w:bookmarkEnd w:id="455"/>
      <w:r>
        <w:rPr>
          <w:rFonts w:ascii="Times New Roman;Times;Serif" w:hAnsi="Times New Roman;Times;Serif"/>
          <w:b w:val="false"/>
          <w:i w:val="false"/>
          <w:caps w:val="false"/>
          <w:smallCaps w:val="false"/>
          <w:sz w:val="20"/>
        </w:rPr>
        <w:t>1,304,011 and $</w:t>
      </w:r>
      <w:bookmarkStart w:id="456" w:name="xdx_90E_eus-gaap--ProceedsFromIssuanceOf"/>
      <w:bookmarkEnd w:id="456"/>
      <w:r>
        <w:rPr>
          <w:rFonts w:ascii="Times New Roman;Times;Serif" w:hAnsi="Times New Roman;Times;Serif"/>
          <w:b w:val="false"/>
          <w:i w:val="false"/>
          <w:caps w:val="false"/>
          <w:smallCaps w:val="false"/>
          <w:sz w:val="20"/>
        </w:rPr>
        <w:t>2,599,099.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an ATM Sales Agreement (2026 ATM Agreement) with A.G.P./Alliance Global Partners, as sales agent (AGP), pursuant to which the Company may offer and sell, from time to time through AGP, shares of the Company’s common stock for aggregate gross proceeds of up to $</w:t>
      </w:r>
      <w:bookmarkStart w:id="457" w:name="xdx_90A_eus-gaap--ProceedsFromIssuanceOf"/>
      <w:bookmarkEnd w:id="457"/>
      <w:r>
        <w:rPr>
          <w:rFonts w:ascii="Times New Roman;Times;Serif" w:hAnsi="Times New Roman;Times;Serif"/>
          <w:b w:val="false"/>
          <w:i w:val="false"/>
          <w:caps w:val="false"/>
          <w:smallCaps w:val="false"/>
          <w:sz w:val="20"/>
        </w:rPr>
        <w:t xml:space="preserve">100,000,000 in at-the-market offering sales. AGP acts as sales agent and is paid a </w:t>
      </w:r>
      <w:bookmarkStart w:id="458" w:name="xdx_906_eus-gaap--SaleOfStockPercentageO"/>
      <w:bookmarkEnd w:id="458"/>
      <w:r>
        <w:rPr>
          <w:rFonts w:ascii="Times New Roman;Times;Serif" w:hAnsi="Times New Roman;Times;Serif"/>
          <w:b w:val="false"/>
          <w:i w:val="false"/>
          <w:caps w:val="false"/>
          <w:smallCaps w:val="false"/>
          <w:sz w:val="20"/>
        </w:rPr>
        <w:t>3% commission on each sale under the 2026 ATM Agreement. The Company’s common stock is sold at prevailing market prices at the time of the sale, and, as a result, prices will vary.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the Company sold </w:t>
      </w:r>
      <w:bookmarkStart w:id="459" w:name="xdx_903_eus-gaap--SaleOfStockNumberOfSha"/>
      <w:bookmarkEnd w:id="459"/>
      <w:r>
        <w:rPr>
          <w:rFonts w:ascii="Times New Roman;Times;Serif" w:hAnsi="Times New Roman;Times;Serif"/>
          <w:b w:val="false"/>
          <w:i w:val="false"/>
          <w:caps w:val="false"/>
          <w:smallCaps w:val="false"/>
          <w:sz w:val="20"/>
        </w:rPr>
        <w:t>806,893 shares of common stock under the 2026 ATM Agreement, for net proceeds of $</w:t>
      </w:r>
      <w:bookmarkStart w:id="460" w:name="xdx_904_eus-gaap--ProceedsFromIssuanceOf"/>
      <w:bookmarkEnd w:id="460"/>
      <w:r>
        <w:rPr>
          <w:rFonts w:ascii="Times New Roman;Times;Serif" w:hAnsi="Times New Roman;Times;Serif"/>
          <w:b w:val="false"/>
          <w:i w:val="false"/>
          <w:caps w:val="false"/>
          <w:smallCaps w:val="false"/>
          <w:sz w:val="20"/>
        </w:rPr>
        <w:t xml:space="preserve">4,347,364. During the six months ended June 30, 2026, the Company sold </w:t>
      </w:r>
      <w:bookmarkStart w:id="461" w:name="xdx_908_eus-gaap--SaleOfStockNumberOfSha"/>
      <w:bookmarkEnd w:id="461"/>
      <w:r>
        <w:rPr>
          <w:rFonts w:ascii="Times New Roman;Times;Serif" w:hAnsi="Times New Roman;Times;Serif"/>
          <w:b w:val="false"/>
          <w:i w:val="false"/>
          <w:caps w:val="false"/>
          <w:smallCaps w:val="false"/>
          <w:sz w:val="20"/>
        </w:rPr>
        <w:t>809,593 shares of common stock under the 2026 ATM Agreement, for net proceeds of $</w:t>
      </w:r>
      <w:bookmarkStart w:id="462" w:name="xdx_900_eus-gaap--ProceedsFromIssuanceOf"/>
      <w:bookmarkEnd w:id="462"/>
      <w:r>
        <w:rPr>
          <w:rFonts w:ascii="Times New Roman;Times;Serif" w:hAnsi="Times New Roman;Times;Serif"/>
          <w:b w:val="false"/>
          <w:i w:val="false"/>
          <w:caps w:val="false"/>
          <w:smallCaps w:val="false"/>
          <w:sz w:val="20"/>
        </w:rPr>
        <w:t>4,364,909.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Agreement with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a purchase agreement (the Original LP Purchase Agreement) and a registration rights agreement (the Registration Rights Agreement) with Lincoln Park Capital Fund, LLC (Lincoln Park). Pursuant to the terms of the Original LP Purchase Agreement, Lincoln Park agreed to purchase from the Company up to $</w:t>
      </w:r>
      <w:bookmarkStart w:id="463" w:name="xdx_906_eus-gaap--ProceedsFromIssuanceOf"/>
      <w:bookmarkEnd w:id="463"/>
      <w:r>
        <w:rPr>
          <w:rFonts w:ascii="Times New Roman;Times;Serif" w:hAnsi="Times New Roman;Times;Serif"/>
          <w:b w:val="false"/>
          <w:i w:val="false"/>
          <w:caps w:val="false"/>
          <w:smallCaps w:val="false"/>
          <w:sz w:val="20"/>
        </w:rPr>
        <w:t>12 million of the Company’s common stock. Pursuant to the terms of the Registration Rights Agreement, the Company filed with the SEC registration statements to register for resale under the Securities Act the shares of common stock that were issued to Lincoln Park under the Original LP Purchase Agreement. As of June 30, 2025, the Company sold to Lincoln Park the maximum dollar value worth of common stock pursuant to the Original LP Purchase Agreement, and the Original LP Purchase Agreement thereupon expired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2025, the Company entered into a second purchase agreement with Lincoln Park (2025 LP Purchase Agreement), pursuant to which Lincoln Park has agreed to purchase from the Company up to an aggregate of $</w:t>
      </w:r>
      <w:bookmarkStart w:id="464" w:name="xdx_900_eus-gaap--ProceedsFromIssuanceOf"/>
      <w:bookmarkEnd w:id="464"/>
      <w:r>
        <w:rPr>
          <w:rFonts w:ascii="Times New Roman;Times;Serif" w:hAnsi="Times New Roman;Times;Serif"/>
          <w:b w:val="false"/>
          <w:i w:val="false"/>
          <w:caps w:val="false"/>
          <w:smallCaps w:val="false"/>
          <w:sz w:val="20"/>
        </w:rPr>
        <w:t xml:space="preserve">25.0 million of the Company’s common stock (subject to certain limitations and satisfaction of the conditions set forth in the 2025 LP Purchase Agreement) from time to time and at the Company’s sole discretion over the 36-month term of the 2025 LP Purchase Agreement. Pursuant to the terms of the 2025 LP Purchase Agreement, on July 21, 2025, the Company issued </w:t>
      </w:r>
      <w:bookmarkStart w:id="465" w:name="xdx_907_eus-gaap--StockIssuedDuringPerio"/>
      <w:bookmarkEnd w:id="465"/>
      <w:r>
        <w:rPr>
          <w:rFonts w:ascii="Times New Roman;Times;Serif" w:hAnsi="Times New Roman;Times;Serif"/>
          <w:b w:val="false"/>
          <w:i w:val="false"/>
          <w:caps w:val="false"/>
          <w:smallCaps w:val="false"/>
          <w:sz w:val="20"/>
        </w:rPr>
        <w:t>120,424 shares of common stock to Lincoln Park as consideration for its commitment to purchase shares of common stock under the 2025 LP Purchase Agreement. The commitment shares were valued at $</w:t>
      </w:r>
      <w:bookmarkStart w:id="466" w:name="xdx_909_ecustom--CommitmentSharesAndDisc"/>
      <w:bookmarkEnd w:id="466"/>
      <w:r>
        <w:rPr>
          <w:rFonts w:ascii="Times New Roman;Times;Serif" w:hAnsi="Times New Roman;Times;Serif"/>
          <w:b w:val="false"/>
          <w:i w:val="false"/>
          <w:caps w:val="false"/>
          <w:smallCaps w:val="false"/>
          <w:sz w:val="20"/>
        </w:rPr>
        <w:t xml:space="preserve">681,600 and recorded as an addition to equity for the issuance of the common stock and recorded as an expense in issuance cost and change in fair value of derivative on the consolidated statements of operations and comprehensive loss under the 2025 LP Purchase Agreement. The Company evaluated the 2025 LP Purchase Agreement under ASC 815-40 </w:t>
      </w:r>
      <w:r>
        <w:rPr>
          <w:rFonts w:ascii="Times New Roman;Times;Serif" w:hAnsi="Times New Roman;Times;Serif"/>
          <w:b w:val="false"/>
          <w:i/>
          <w:caps w:val="false"/>
          <w:smallCaps w:val="false"/>
          <w:sz w:val="20"/>
        </w:rPr>
        <w:t>Derivatives and Hedging-Contracts on an Entity’s Own Equity</w:t>
      </w:r>
      <w:r>
        <w:rPr>
          <w:rFonts w:ascii="Times New Roman;Times;Serif" w:hAnsi="Times New Roman;Times;Serif"/>
          <w:b w:val="false"/>
          <w:i w:val="false"/>
          <w:caps w:val="false"/>
          <w:smallCaps w:val="false"/>
          <w:sz w:val="20"/>
        </w:rPr>
        <w:t xml:space="preserve"> as it represents the right to require Lincoln Park to purchase shares of common stock in the future, similar to a put option. The Company concluded that the 2025 LP Purchase Agreement represents a freestanding derivative instrument that does not qualify for equity classification and therefore requires fair value accounting. The Company analyzed the terms of the contract and concluded that the derivative instrument had insignificant value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and 2025, the Company sold </w:t>
      </w:r>
      <w:bookmarkStart w:id="467" w:name="xdx_907_eus-gaap--SaleOfStockNumberOfSha"/>
      <w:bookmarkStart w:id="468" w:name="xdx_904_eus-gaap--SaleOfStockNumberOfSha"/>
      <w:bookmarkEnd w:id="467"/>
      <w:bookmarkEnd w:id="468"/>
      <w:r>
        <w:rPr>
          <w:rFonts w:ascii="Times New Roman;Times;Serif" w:hAnsi="Times New Roman;Times;Serif"/>
          <w:b w:val="false"/>
          <w:i w:val="false"/>
          <w:caps w:val="false"/>
          <w:smallCaps w:val="false"/>
          <w:sz w:val="20"/>
        </w:rPr>
        <w:t xml:space="preserve">1,032,372 shares of common stock under the 2025 LP Purchase Agreement and </w:t>
      </w:r>
      <w:bookmarkStart w:id="469" w:name="xdx_907_eus-gaap--SaleOfStockNumberOfSha"/>
      <w:bookmarkStart w:id="470" w:name="xdx_900_eus-gaap--SaleOfStockNumberOfSha"/>
      <w:bookmarkEnd w:id="469"/>
      <w:bookmarkEnd w:id="470"/>
      <w:r>
        <w:rPr>
          <w:rFonts w:ascii="Times New Roman;Times;Serif" w:hAnsi="Times New Roman;Times;Serif"/>
          <w:b w:val="false"/>
          <w:i w:val="false"/>
          <w:caps w:val="false"/>
          <w:smallCaps w:val="false"/>
          <w:sz w:val="20"/>
        </w:rPr>
        <w:t>674,006 shares of common stock under the Original LP Purchase Agreement, for net proceeds of $</w:t>
      </w:r>
      <w:bookmarkStart w:id="471" w:name="xdx_907_eus-gaap--ProceedsFromIssuanceOf"/>
      <w:bookmarkStart w:id="472" w:name="xdx_906_eus-gaap--ProceedsFromIssuanceOf"/>
      <w:bookmarkEnd w:id="471"/>
      <w:bookmarkEnd w:id="472"/>
      <w:r>
        <w:rPr>
          <w:rFonts w:ascii="Times New Roman;Times;Serif" w:hAnsi="Times New Roman;Times;Serif"/>
          <w:b w:val="false"/>
          <w:i w:val="false"/>
          <w:caps w:val="false"/>
          <w:smallCaps w:val="false"/>
          <w:sz w:val="20"/>
        </w:rPr>
        <w:t>5,058,975 and $</w:t>
      </w:r>
      <w:bookmarkStart w:id="473" w:name="xdx_90A_eus-gaap--ProceedsFromIssuanceOf"/>
      <w:bookmarkStart w:id="474" w:name="xdx_90F_eus-gaap--ProceedsFromIssuanceOf"/>
      <w:bookmarkEnd w:id="473"/>
      <w:bookmarkEnd w:id="474"/>
      <w:r>
        <w:rPr>
          <w:rFonts w:ascii="Times New Roman;Times;Serif" w:hAnsi="Times New Roman;Times;Serif"/>
          <w:b w:val="false"/>
          <w:i w:val="false"/>
          <w:caps w:val="false"/>
          <w:smallCaps w:val="false"/>
          <w:sz w:val="20"/>
        </w:rPr>
        <w:t xml:space="preserve">2,613,247, respectively. During the six months ended June 30, 2026, the Company sold </w:t>
      </w:r>
      <w:bookmarkStart w:id="475" w:name="xdx_907_eus-gaap--SaleOfStockNumberOfSha"/>
      <w:bookmarkEnd w:id="475"/>
      <w:r>
        <w:rPr>
          <w:rFonts w:ascii="Times New Roman;Times;Serif" w:hAnsi="Times New Roman;Times;Serif"/>
          <w:b w:val="false"/>
          <w:i w:val="false"/>
          <w:caps w:val="false"/>
          <w:smallCaps w:val="false"/>
          <w:sz w:val="20"/>
        </w:rPr>
        <w:t xml:space="preserve">2,644,178 shares of common stock under the 2025 LP Purchase Agreement and </w:t>
      </w:r>
      <w:bookmarkStart w:id="476" w:name="xdx_90A_eus-gaap--SaleOfStockNumberOfSha"/>
      <w:bookmarkEnd w:id="476"/>
      <w:r>
        <w:rPr>
          <w:rFonts w:ascii="Times New Roman;Times;Serif" w:hAnsi="Times New Roman;Times;Serif"/>
          <w:b w:val="false"/>
          <w:i w:val="false"/>
          <w:caps w:val="false"/>
          <w:smallCaps w:val="false"/>
          <w:sz w:val="20"/>
        </w:rPr>
        <w:t>897,415 shares of common stock under the Original LP Purchase Agreement, for net proceeds of $</w:t>
      </w:r>
      <w:bookmarkStart w:id="477" w:name="xdx_903_eus-gaap--ProceedsFromIssuanceOf"/>
      <w:bookmarkEnd w:id="477"/>
      <w:r>
        <w:rPr>
          <w:rFonts w:ascii="Times New Roman;Times;Serif" w:hAnsi="Times New Roman;Times;Serif"/>
          <w:b w:val="false"/>
          <w:i w:val="false"/>
          <w:caps w:val="false"/>
          <w:smallCaps w:val="false"/>
          <w:sz w:val="20"/>
        </w:rPr>
        <w:t>14,065,761 and $</w:t>
      </w:r>
      <w:bookmarkStart w:id="478" w:name="xdx_905_eus-gaap--ProceedsFromIssuanceOf"/>
      <w:bookmarkEnd w:id="478"/>
      <w:r>
        <w:rPr>
          <w:rFonts w:ascii="Times New Roman;Times;Serif" w:hAnsi="Times New Roman;Times;Serif"/>
          <w:b w:val="false"/>
          <w:i w:val="false"/>
          <w:caps w:val="false"/>
          <w:smallCaps w:val="false"/>
          <w:sz w:val="20"/>
        </w:rPr>
        <w:t>3,513,236, respectively. Changes in fair value associated with the derivative instrument are recorded in change in fair value of derivative in the consolidated statements of operations and comprehensive loss. The Company recorded $</w:t>
      </w:r>
      <w:bookmarkStart w:id="479" w:name="xdx_90F_ecustom--ChangeInFairValueOfDeri"/>
      <w:bookmarkEnd w:id="479"/>
      <w:r>
        <w:rPr>
          <w:rFonts w:ascii="Times New Roman;Times;Serif" w:hAnsi="Times New Roman;Times;Serif"/>
          <w:b w:val="false"/>
          <w:i w:val="false"/>
          <w:caps w:val="false"/>
          <w:smallCaps w:val="false"/>
          <w:sz w:val="20"/>
        </w:rPr>
        <w:t>314,013 and $</w:t>
      </w:r>
      <w:bookmarkStart w:id="480" w:name="xdx_905_ecustom--ChangeInFairValueOfDeri"/>
      <w:bookmarkEnd w:id="480"/>
      <w:r>
        <w:rPr>
          <w:rFonts w:ascii="Times New Roman;Times;Serif" w:hAnsi="Times New Roman;Times;Serif"/>
          <w:b w:val="false"/>
          <w:i w:val="false"/>
          <w:caps w:val="false"/>
          <w:smallCaps w:val="false"/>
          <w:sz w:val="20"/>
        </w:rPr>
        <w:t>194,526 for the three-month periods ended June 30, 2026 and 2025, respectively, associated with the change in fair value of the derivative instrument. The Company recorded $</w:t>
      </w:r>
      <w:bookmarkStart w:id="481" w:name="xdx_90B_ecustom--ChangeInFairValueOfDeri"/>
      <w:bookmarkEnd w:id="481"/>
      <w:r>
        <w:rPr>
          <w:rFonts w:ascii="Times New Roman;Times;Serif" w:hAnsi="Times New Roman;Times;Serif"/>
          <w:b w:val="false"/>
          <w:i w:val="false"/>
          <w:caps w:val="false"/>
          <w:smallCaps w:val="false"/>
          <w:sz w:val="20"/>
        </w:rPr>
        <w:t>1,166,043 and $</w:t>
      </w:r>
      <w:bookmarkStart w:id="482" w:name="xdx_900_ecustom--ChangeInFairValueOfDeri"/>
      <w:bookmarkEnd w:id="482"/>
      <w:r>
        <w:rPr>
          <w:rFonts w:ascii="Times New Roman;Times;Serif" w:hAnsi="Times New Roman;Times;Serif"/>
          <w:b w:val="false"/>
          <w:i w:val="false"/>
          <w:caps w:val="false"/>
          <w:smallCaps w:val="false"/>
          <w:sz w:val="20"/>
        </w:rPr>
        <w:t>244,513 for the six-month periods ended June 30, 2026 and 2025, respectively, associated with the change in fair value of the derivative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2026, the Company entered into a securities purchase agreement (Purchase Agreement) with several purchasers, including certain officers, directors and other affiliates of the Company (Purchasers), for the private placement (Private Placement) of: (i) </w:t>
      </w:r>
      <w:bookmarkStart w:id="483" w:name="xdx_904_eus-gaap--StockIssuedDuringPerio"/>
      <w:bookmarkEnd w:id="483"/>
      <w:r>
        <w:rPr>
          <w:rFonts w:ascii="Times New Roman;Times;Serif" w:hAnsi="Times New Roman;Times;Serif"/>
          <w:b w:val="false"/>
          <w:i w:val="false"/>
          <w:caps w:val="false"/>
          <w:smallCaps w:val="false"/>
          <w:sz w:val="20"/>
        </w:rPr>
        <w:t xml:space="preserve">2,147,472 shares of the Company’s common stock, (ii) </w:t>
      </w:r>
      <w:bookmarkStart w:id="484" w:name="xdx_90C_eus-gaap--SaleOfStockNumberOfSha"/>
      <w:bookmarkEnd w:id="484"/>
      <w:r>
        <w:rPr>
          <w:rFonts w:ascii="Times New Roman;Times;Serif" w:hAnsi="Times New Roman;Times;Serif"/>
          <w:b w:val="false"/>
          <w:i w:val="false"/>
          <w:caps w:val="false"/>
          <w:smallCaps w:val="false"/>
          <w:sz w:val="20"/>
        </w:rPr>
        <w:t>954 shares of Series A convertible preferred stock with a stated value of $</w:t>
      </w:r>
      <w:bookmarkStart w:id="485" w:name="xdx_90C_ecustom--PreferredStockStatedVal"/>
      <w:bookmarkEnd w:id="485"/>
      <w:r>
        <w:rPr>
          <w:rFonts w:ascii="Times New Roman;Times;Serif" w:hAnsi="Times New Roman;Times;Serif"/>
          <w:b w:val="false"/>
          <w:i w:val="false"/>
          <w:caps w:val="false"/>
          <w:smallCaps w:val="false"/>
          <w:sz w:val="20"/>
        </w:rPr>
        <w:t>1,000 and a conversion price equal to a $</w:t>
      </w:r>
      <w:bookmarkStart w:id="486" w:name="xdx_90D_eus-gaap--PreferredStockConverti"/>
      <w:bookmarkEnd w:id="486"/>
      <w:r>
        <w:rPr>
          <w:rFonts w:ascii="Times New Roman;Times;Serif" w:hAnsi="Times New Roman;Times;Serif"/>
          <w:b w:val="false"/>
          <w:i w:val="false"/>
          <w:caps w:val="false"/>
          <w:smallCaps w:val="false"/>
          <w:sz w:val="20"/>
        </w:rPr>
        <w:t xml:space="preserve">5.04 per share of common stock and (iii) a warrant to purchase </w:t>
      </w:r>
      <w:bookmarkStart w:id="487" w:name="xdx_905_eus-gaap--ClassOfWarrantOrRightO"/>
      <w:bookmarkEnd w:id="487"/>
      <w:r>
        <w:rPr>
          <w:rFonts w:ascii="Times New Roman;Times;Serif" w:hAnsi="Times New Roman;Times;Serif"/>
          <w:b w:val="false"/>
          <w:i w:val="false"/>
          <w:caps w:val="false"/>
          <w:smallCaps w:val="false"/>
          <w:sz w:val="20"/>
        </w:rPr>
        <w:t>1,869,415 shares of common stock (Warrant Shares) for aggregate gross proceeds of approximately $</w:t>
      </w:r>
      <w:bookmarkStart w:id="488" w:name="xdx_903_eus-gaap--WarrantsAndRightsOutst"/>
      <w:bookmarkEnd w:id="488"/>
      <w:r>
        <w:rPr>
          <w:rFonts w:ascii="Times New Roman;Times;Serif" w:hAnsi="Times New Roman;Times;Serif"/>
          <w:b w:val="false"/>
          <w:i w:val="false"/>
          <w:caps w:val="false"/>
          <w:smallCaps w:val="false"/>
          <w:sz w:val="20"/>
        </w:rPr>
        <w:t>12.0 million, at a price per share of $</w:t>
      </w:r>
      <w:bookmarkStart w:id="489" w:name="xdx_900_eus-gaap--SaleOfStockPricePerSha"/>
      <w:bookmarkEnd w:id="489"/>
      <w:r>
        <w:rPr>
          <w:rFonts w:ascii="Times New Roman;Times;Serif" w:hAnsi="Times New Roman;Times;Serif"/>
          <w:b w:val="false"/>
          <w:i w:val="false"/>
          <w:caps w:val="false"/>
          <w:smallCaps w:val="false"/>
          <w:sz w:val="20"/>
        </w:rPr>
        <w:t>5.14 per share of common stock (including $</w:t>
      </w:r>
      <w:bookmarkStart w:id="490" w:name="xdx_90A_eus-gaap--ClassOfWarrantOrRightE"/>
      <w:bookmarkEnd w:id="490"/>
      <w:r>
        <w:rPr>
          <w:rFonts w:ascii="Times New Roman;Times;Serif" w:hAnsi="Times New Roman;Times;Serif"/>
          <w:b w:val="false"/>
          <w:i w:val="false"/>
          <w:caps w:val="false"/>
          <w:smallCaps w:val="false"/>
          <w:sz w:val="20"/>
        </w:rPr>
        <w:t>0.10 per Warrant Share). The Warrant Shares have an exercise price of $</w:t>
      </w:r>
      <w:bookmarkStart w:id="491" w:name="xdx_906_eus-gaap--ClassOfWarrantOrRightE"/>
      <w:bookmarkEnd w:id="491"/>
      <w:r>
        <w:rPr>
          <w:rFonts w:ascii="Times New Roman;Times;Serif" w:hAnsi="Times New Roman;Times;Serif"/>
          <w:b w:val="false"/>
          <w:i w:val="false"/>
          <w:caps w:val="false"/>
          <w:smallCaps w:val="false"/>
          <w:sz w:val="20"/>
        </w:rPr>
        <w:t>5.04 per share of common stock, subject to adjustment as provided in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closing of the Private Placement occurred on February 6 and 13, 2026. At the special meeting of stockholders on March 24, 2026, stockholders approved the issuance of common stock upon conversion of the preferred stock and the exercise of the warrant. Upon stockholder approval (i) the preferred stock, without any further action by the Company or the holder, automatically converted into </w:t>
      </w:r>
      <w:bookmarkStart w:id="492" w:name="xdx_901_eus-gaap--ConversionOfStockShare"/>
      <w:bookmarkEnd w:id="492"/>
      <w:r>
        <w:rPr>
          <w:rFonts w:ascii="Times New Roman;Times;Serif" w:hAnsi="Times New Roman;Times;Serif"/>
          <w:b w:val="false"/>
          <w:i w:val="false"/>
          <w:caps w:val="false"/>
          <w:smallCaps w:val="false"/>
          <w:sz w:val="20"/>
        </w:rPr>
        <w:t>191,824 shares of common stock determined by dividing the stated value plus all unpaid accrued and accumulated preferential dividends on such share by the $</w:t>
      </w:r>
      <w:bookmarkStart w:id="493" w:name="xdx_90B_eus-gaap--ClassOfWarrantOrRightE"/>
      <w:bookmarkEnd w:id="493"/>
      <w:r>
        <w:rPr>
          <w:rFonts w:ascii="Times New Roman;Times;Serif" w:hAnsi="Times New Roman;Times;Serif"/>
          <w:b w:val="false"/>
          <w:i w:val="false"/>
          <w:caps w:val="false"/>
          <w:smallCaps w:val="false"/>
          <w:sz w:val="20"/>
        </w:rPr>
        <w:t>5.04 conversion price and (ii) the warrant became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 Creek Capital Advisor LLC, on behalf of the Purchasers that it manages has designated two (2) individuals to serve on the Company’s Board of Directors (each a Falcon Creek Director); provided, that (1) one Falcon Creek Director shall be required to resign from the Board of Directors if the Purchasers managed by Falcon Creek no longer beneficially owns at least 15% of the outstanding common stock of the Company and (2) the remaining Falcon Creek Director shall be required to resign from the Board of Directors if the Purchasers managed by Falcon Creek no longer beneficially owns at least 5% of the outstanding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Purchase Agreement, during the period commencing on and including the date of the Purchase Agreement and continuing through and including the 180th day following the date of the Purchase Agreement (such period being referred to as the Lock-up Period), each Purchaser could not, without the prior written consent of the Company, sell, offer to sell, contract to sell or lend any shares of common stock or Warrant Shares (Securities). The Purchase Agreement also provides that during the Lock-up Period, the Purchasers could not (i) effect any short sale, or establish or increase any “put equivalent position” or liquidate or decrease any “call equivalent position” of any Securities; (ii) pledge, hypothecate or grant any security interest in any Securities; (iii) in any other way transfer or dispose of any Securities; (iv) enter into any swap, hedge or similar arrangement or agreement that transfers, in whole or in part, the economic risk of ownership of any Securities, regardless of whether any such transaction is to be settled in securities, in cash or otherwise; (v) grant any proxies or powers of attorney with respect to any Securities, deposit any Securities into a voting trust, or enter into a voting agreement or similar arrangement or commitment with respect to any Securities; or (vi) publicly announce the intention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a standstill provision for a period of twenty-four (24) months following the closing date, whereby each Purchaser has agreed that, without the prior written consent of the Company, the Purchaser will not: (i) acquire, offer to acquire, or agree to acquire any additional securities of the Company if such acquisition would result in the Purchaser and its affiliates beneficially owning more than 40% of the Company’s outstanding common stock on an as-converted basis; (ii) make, or in any way participate in, any solicitation of proxies or consents with respect to any securities of the Company; or (iii) propose or participate in any merger, tender offer, business combination, recapitalization, or similar transaction involving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4" w:name="xdx_80D_eus-gaap--DisclosureOfCompensati"/>
      <w:bookmarkEnd w:id="494"/>
      <w:r>
        <w:rPr>
          <w:rFonts w:ascii="Times New Roman;Times;Serif" w:hAnsi="Times New Roman;Times;Serif"/>
          <w:b/>
          <w:i w:val="false"/>
          <w:caps w:val="false"/>
          <w:smallCaps w:val="false"/>
          <w:sz w:val="20"/>
        </w:rPr>
        <w:t xml:space="preserve">(10) </w:t>
      </w:r>
      <w:bookmarkStart w:id="495" w:name="xdx_826_zuztU3DKyP6g"/>
      <w:bookmarkEnd w:id="49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Company’s board of directors and stockholders adopted the 2021 Equity Incentive Plan (EIP), which provides for the grant of incentive stock options and non-qualified stock options to purchase shares of the Company’s common stock, stock appreciation rights, restricted stock units, restricted or unrestricted shares of common stock, performance shares, performance units, incentive bonus awards, other stock-based awards and other cash-based awards. No awards may be made under the EIP on or after September 24, 2031, but the EIP will continue thereafter while previously granted awards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2024 annual meeting and 2025 annual meeting, stockholders approved an amendment to the EIP to increase the number of shares of common stock authorized for issuance. As of June 30, 2026, </w:t>
      </w:r>
      <w:bookmarkStart w:id="496" w:name="xdx_902_eus-gaap--CommonStockCapitalShar"/>
      <w:bookmarkEnd w:id="496"/>
      <w:r>
        <w:rPr>
          <w:rFonts w:ascii="Times New Roman;Times;Serif" w:hAnsi="Times New Roman;Times;Serif"/>
          <w:b w:val="false"/>
          <w:i w:val="false"/>
          <w:caps w:val="false"/>
          <w:smallCaps w:val="false"/>
          <w:sz w:val="20"/>
        </w:rPr>
        <w:t xml:space="preserve">458,888 shares of common stock were available for issuance under the EIP. </w:t>
      </w:r>
      <w:bookmarkStart w:id="497" w:name="xdx_909_eus-gaap--ShareBasedCompensation"/>
      <w:bookmarkEnd w:id="497"/>
      <w:r>
        <w:rPr>
          <w:rFonts w:ascii="Times New Roman;Times;Serif" w:hAnsi="Times New Roman;Times;Serif"/>
          <w:b w:val="false"/>
          <w:i w:val="false"/>
          <w:caps w:val="false"/>
          <w:smallCaps w:val="false"/>
          <w:sz w:val="20"/>
        </w:rPr>
        <w:t>The number of shares of common stock available for issuance under the EIP will automatically increase on January 1st of each year until the expiration of the EIP, in an amount equal to 5% of the total number of shares of our common stock outstanding on December 31st of the preceding calendar year, on a fully diluted basis, unless the board of directors takes action prior thereto to provide that there will not be an increase in the share reserve for such year or that the increase in the share reserve for such year will be of a lesser number of shares of common stock than would otherwise occur. The shares of common stock underlying any awards that are forfeited, cancelled, held back upon exercise or settlement of an award to satisfy the exercise price or tax withholding, repurchased or are otherwise terminated by the Company under the EIP will be added back to the shares of common stock available for issuance under the EIP.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of $</w:t>
      </w:r>
      <w:bookmarkStart w:id="498" w:name="xdx_90A_eus-gaap--ShareBasedCompensation"/>
      <w:bookmarkEnd w:id="498"/>
      <w:r>
        <w:rPr>
          <w:rFonts w:ascii="Times New Roman;Times;Serif" w:hAnsi="Times New Roman;Times;Serif"/>
          <w:b w:val="false"/>
          <w:i w:val="false"/>
          <w:caps w:val="false"/>
          <w:smallCaps w:val="false"/>
          <w:sz w:val="20"/>
        </w:rPr>
        <w:t>1,073,941 and $</w:t>
      </w:r>
      <w:bookmarkStart w:id="499" w:name="xdx_90C_eus-gaap--ShareBasedCompensation"/>
      <w:bookmarkEnd w:id="499"/>
      <w:r>
        <w:rPr>
          <w:rFonts w:ascii="Times New Roman;Times;Serif" w:hAnsi="Times New Roman;Times;Serif"/>
          <w:b w:val="false"/>
          <w:i w:val="false"/>
          <w:caps w:val="false"/>
          <w:smallCaps w:val="false"/>
          <w:sz w:val="20"/>
        </w:rPr>
        <w:t>448,370 during the six months ended June 30, 2026 and 2025, respectively. The Company recorded stock-based compensation expense of $</w:t>
      </w:r>
      <w:bookmarkStart w:id="500" w:name="xdx_90B_eus-gaap--ShareBasedCompensation"/>
      <w:bookmarkEnd w:id="500"/>
      <w:r>
        <w:rPr>
          <w:rFonts w:ascii="Times New Roman;Times;Serif" w:hAnsi="Times New Roman;Times;Serif"/>
          <w:b w:val="false"/>
          <w:i w:val="false"/>
          <w:caps w:val="false"/>
          <w:smallCaps w:val="false"/>
          <w:sz w:val="20"/>
        </w:rPr>
        <w:t>347,920 and $</w:t>
      </w:r>
      <w:bookmarkStart w:id="501" w:name="xdx_905_eus-gaap--ShareBasedCompensation"/>
      <w:bookmarkEnd w:id="501"/>
      <w:r>
        <w:rPr>
          <w:rFonts w:ascii="Times New Roman;Times;Serif" w:hAnsi="Times New Roman;Times;Serif"/>
          <w:b w:val="false"/>
          <w:i w:val="false"/>
          <w:caps w:val="false"/>
          <w:smallCaps w:val="false"/>
          <w:sz w:val="20"/>
        </w:rPr>
        <w:t>90,721 during the three months ended June 30, 2026 and 2025, respectively. As of June 30, 2026 and December 31, 2025, there was $</w:t>
      </w:r>
      <w:bookmarkStart w:id="502" w:name="xdx_90B_eus-gaap--EmployeeServiceShareBa"/>
      <w:bookmarkEnd w:id="502"/>
      <w:r>
        <w:rPr>
          <w:rFonts w:ascii="Times New Roman;Times;Serif" w:hAnsi="Times New Roman;Times;Serif"/>
          <w:b w:val="false"/>
          <w:i w:val="false"/>
          <w:caps w:val="false"/>
          <w:smallCaps w:val="false"/>
          <w:sz w:val="20"/>
        </w:rPr>
        <w:t>2,546,323 and $</w:t>
      </w:r>
      <w:bookmarkStart w:id="503" w:name="xdx_901_eus-gaap--EmployeeServiceShareBa"/>
      <w:bookmarkEnd w:id="503"/>
      <w:r>
        <w:rPr>
          <w:rFonts w:ascii="Times New Roman;Times;Serif" w:hAnsi="Times New Roman;Times;Serif"/>
          <w:b w:val="false"/>
          <w:i w:val="false"/>
          <w:caps w:val="false"/>
          <w:smallCaps w:val="false"/>
          <w:sz w:val="20"/>
        </w:rPr>
        <w:t>2,449,227, respectively, of unrecognized compensation cost related to nonvested share-based compensation arrangements granted under the EIP, which is expected to be recognized over the next one to four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4" w:name="xdx_899_eus-gaap--ScheduleOfShareBasedCo"/>
      <w:bookmarkEnd w:id="504"/>
      <w:r>
        <w:rPr>
          <w:rFonts w:ascii="Times New Roman;Times;Serif" w:hAnsi="Times New Roman;Times;Serif"/>
          <w:b w:val="false"/>
          <w:i w:val="false"/>
          <w:caps w:val="false"/>
          <w:smallCaps w:val="false"/>
          <w:sz w:val="20"/>
        </w:rPr>
        <w:t>A summary of option and share activity under the EIP during the six-month periods ended June 30, 2026 and 2025 is as follows:</w:t>
      </w:r>
    </w:p>
    <w:p>
      <w:pPr>
        <w:pStyle w:val="TextBody"/>
        <w:bidi w:val="0"/>
        <w:spacing w:before="0" w:after="0"/>
        <w:ind w:left="720" w:right="0" w:hanging="0"/>
        <w:jc w:val="both"/>
        <w:rPr>
          <w:caps w:val="false"/>
          <w:smallCaps w:val="false"/>
        </w:rPr>
      </w:pPr>
      <w:r>
        <w:rPr>
          <w:caps w:val="false"/>
          <w:smallCaps w:val="false"/>
        </w:rPr>
        <w:t> </w:t>
      </w:r>
      <w:bookmarkStart w:id="505" w:name="xdx_8BB_z1zCzl97JXac"/>
      <w:bookmarkEnd w:id="505"/>
      <w:r>
        <w:rPr>
          <w:rFonts w:ascii="Times New Roman;Times;Serif" w:hAnsi="Times New Roman;Times;Serif"/>
          <w:b w:val="false"/>
          <w:i w:val="false"/>
          <w:caps w:val="false"/>
          <w:smallCaps w:val="false"/>
          <w:sz w:val="20"/>
        </w:rPr>
        <w:t>Summary of Option Activity</w:t>
      </w:r>
    </w:p>
    <w:tbl>
      <w:tblPr>
        <w:tblW w:w="10205" w:type="dxa"/>
        <w:jc w:val="left"/>
        <w:tblInd w:w="0" w:type="dxa"/>
        <w:tblLayout w:type="fixed"/>
        <w:tblCellMar>
          <w:top w:w="0" w:type="dxa"/>
          <w:left w:w="0" w:type="dxa"/>
          <w:bottom w:w="0" w:type="dxa"/>
          <w:right w:w="0" w:type="dxa"/>
        </w:tblCellMar>
      </w:tblPr>
      <w:tblGrid>
        <w:gridCol w:w="3368"/>
        <w:gridCol w:w="60"/>
        <w:gridCol w:w="60"/>
        <w:gridCol w:w="980"/>
        <w:gridCol w:w="95"/>
        <w:gridCol w:w="60"/>
        <w:gridCol w:w="464"/>
        <w:gridCol w:w="1461"/>
        <w:gridCol w:w="60"/>
        <w:gridCol w:w="60"/>
        <w:gridCol w:w="272"/>
        <w:gridCol w:w="1999"/>
        <w:gridCol w:w="60"/>
        <w:gridCol w:w="60"/>
        <w:gridCol w:w="162"/>
        <w:gridCol w:w="908"/>
        <w:gridCol w:w="76"/>
      </w:tblGrid>
      <w:tr>
        <w:trPr/>
        <w:tc>
          <w:tcPr>
            <w:tcW w:w="33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1"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6" w:type="dxa"/>
            <w:tcBorders/>
            <w:vAlign w:val="center"/>
          </w:tcPr>
          <w:p>
            <w:pPr>
              <w:pStyle w:val="TableContents"/>
              <w:bidi w:val="0"/>
              <w:spacing w:before="0" w:after="283"/>
              <w:jc w:val="left"/>
              <w:rPr/>
            </w:pPr>
            <w:r>
              <w:rPr/>
              <w:t> </w:t>
            </w:r>
          </w:p>
        </w:tc>
      </w:tr>
      <w:tr>
        <w:trPr/>
        <w:tc>
          <w:tcPr>
            <w:tcW w:w="33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1" w:type="dxa"/>
            <w:gridSpan w:val="2"/>
            <w:tcBorders/>
            <w:vAlign w:val="center"/>
          </w:tcPr>
          <w:p>
            <w:pPr>
              <w:pStyle w:val="TableContents"/>
              <w:bidi w:val="0"/>
              <w:spacing w:before="0" w:after="283"/>
              <w:jc w:val="center"/>
              <w:rPr>
                <w:b/>
              </w:rPr>
            </w:pPr>
            <w:r>
              <w:rPr>
                <w:b/>
              </w:rPr>
              <w:t>Remaining 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6" w:type="dxa"/>
            <w:tcBorders/>
            <w:vAlign w:val="center"/>
          </w:tcPr>
          <w:p>
            <w:pPr>
              <w:pStyle w:val="TableContents"/>
              <w:bidi w:val="0"/>
              <w:spacing w:before="0" w:after="283"/>
              <w:jc w:val="left"/>
              <w:rPr/>
            </w:pPr>
            <w:r>
              <w:rPr/>
              <w:t> </w:t>
            </w:r>
          </w:p>
        </w:tc>
      </w:tr>
      <w:tr>
        <w:trPr/>
        <w:tc>
          <w:tcPr>
            <w:tcW w:w="33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6" w:type="dxa"/>
            <w:tcBorders/>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6" w:name="xdx_986_eus-gaap--ShareBasedCompensation"/>
            <w:bookmarkEnd w:id="506"/>
          </w:p>
        </w:tc>
        <w:tc>
          <w:tcPr>
            <w:tcW w:w="980" w:type="dxa"/>
            <w:tcBorders/>
            <w:shd w:fill="CCEEFF" w:val="clear"/>
            <w:vAlign w:val="center"/>
          </w:tcPr>
          <w:p>
            <w:pPr>
              <w:pStyle w:val="TableContents"/>
              <w:bidi w:val="0"/>
              <w:spacing w:before="0" w:after="283"/>
              <w:jc w:val="right"/>
              <w:rPr/>
            </w:pPr>
            <w:r>
              <w:rPr/>
              <w:t>89,406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07" w:name="xdx_98C_eus-gaap--ShareBasedCompensation"/>
            <w:bookmarkEnd w:id="507"/>
          </w:p>
        </w:tc>
        <w:tc>
          <w:tcPr>
            <w:tcW w:w="980" w:type="dxa"/>
            <w:tcBorders/>
            <w:shd w:fill="FFFFFF" w:val="clear"/>
            <w:vAlign w:val="center"/>
          </w:tcPr>
          <w:p>
            <w:pPr>
              <w:pStyle w:val="TableContents"/>
              <w:bidi w:val="0"/>
              <w:spacing w:before="0" w:after="283"/>
              <w:jc w:val="right"/>
              <w:rPr/>
            </w:pPr>
            <w:r>
              <w:rPr/>
              <w:t>248,428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w:t>
            </w:r>
            <w:bookmarkStart w:id="508" w:name="xdx_980_eus-gaap--ShareBasedCompensation"/>
            <w:bookmarkEnd w:id="508"/>
          </w:p>
        </w:tc>
        <w:tc>
          <w:tcPr>
            <w:tcW w:w="1461" w:type="dxa"/>
            <w:tcBorders/>
            <w:shd w:fill="FFFFFF" w:val="clear"/>
            <w:vAlign w:val="center"/>
          </w:tcPr>
          <w:p>
            <w:pPr>
              <w:pStyle w:val="TableContents"/>
              <w:bidi w:val="0"/>
              <w:spacing w:before="0" w:after="283"/>
              <w:jc w:val="right"/>
              <w:rPr/>
            </w:pPr>
            <w:r>
              <w:rPr/>
              <w:t>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bookmarkStart w:id="509" w:name="xdx_90B_ecustom--SharebasedCompensationA"/>
            <w:bookmarkEnd w:id="509"/>
            <w:r>
              <w:rPr/>
              <w:t>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bookmarkStart w:id="510" w:name="xdx_900_eus-gaap--ShareBasedCompensation"/>
            <w:bookmarkEnd w:id="510"/>
            <w:r>
              <w:rPr/>
              <w:t>-</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1" w:name="xdx_98D_eus-gaap--StockIssuedDuringPerio"/>
            <w:bookmarkEnd w:id="511"/>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2" w:name="xdx_982_eus-gaap--ShareBasedCompensation"/>
            <w:bookmarkEnd w:id="51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Outstanding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3" w:name="xdx_987_eus-gaap--ShareBasedCompensation"/>
            <w:bookmarkEnd w:id="51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337,834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14" w:name="xdx_98E_eus-gaap--ShareBasedCompensation"/>
            <w:bookmarkEnd w:id="514"/>
          </w:p>
        </w:tc>
        <w:tc>
          <w:tcPr>
            <w:tcW w:w="980" w:type="dxa"/>
            <w:tcBorders/>
            <w:shd w:fill="FFFFFF" w:val="clear"/>
            <w:vAlign w:val="center"/>
          </w:tcPr>
          <w:p>
            <w:pPr>
              <w:pStyle w:val="TableContents"/>
              <w:bidi w:val="0"/>
              <w:spacing w:before="0" w:after="283"/>
              <w:jc w:val="right"/>
              <w:rPr/>
            </w:pPr>
            <w:r>
              <w:rPr/>
              <w:t>61,005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w:t>
            </w:r>
            <w:bookmarkStart w:id="515" w:name="xdx_989_eus-gaap--ShareBasedCompensation"/>
            <w:bookmarkEnd w:id="515"/>
          </w:p>
        </w:tc>
        <w:tc>
          <w:tcPr>
            <w:tcW w:w="1461"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bookmarkStart w:id="516" w:name="xdx_904_ecustom--SharebasedCompensationA"/>
            <w:bookmarkEnd w:id="516"/>
            <w:r>
              <w:rPr/>
              <w:t>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bookmarkStart w:id="517" w:name="xdx_90D_eus-gaap--ShareBasedCompensation"/>
            <w:bookmarkEnd w:id="517"/>
            <w:r>
              <w:rPr/>
              <w:t>-</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8" w:name="xdx_981_eus-gaap--StockIssuedDuringPerio"/>
            <w:bookmarkEnd w:id="518"/>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9" w:name="xdx_984_eus-gaap--ShareBasedCompensation"/>
            <w:bookmarkEnd w:id="51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Outstanding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0" w:name="xdx_987_eus-gaap--ShareBasedCompensation"/>
            <w:bookmarkEnd w:id="52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398,839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Vested and expected to vest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1" w:name="xdx_987_eus-gaap--ShareBasedCompensation"/>
            <w:bookmarkEnd w:id="52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398,839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Exercisable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2" w:name="xdx_984_eus-gaap--ShareBasedCompensation"/>
            <w:bookmarkEnd w:id="52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Outstanding at January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3" w:name="xdx_98E_eus-gaap--ShareBasedCompensation"/>
            <w:bookmarkEnd w:id="523"/>
          </w:p>
        </w:tc>
        <w:tc>
          <w:tcPr>
            <w:tcW w:w="980" w:type="dxa"/>
            <w:tcBorders/>
            <w:shd w:fill="FFFFFF" w:val="clear"/>
            <w:vAlign w:val="center"/>
          </w:tcPr>
          <w:p>
            <w:pPr>
              <w:pStyle w:val="TableContents"/>
              <w:bidi w:val="0"/>
              <w:spacing w:before="0" w:after="283"/>
              <w:jc w:val="right"/>
              <w:rPr/>
            </w:pPr>
            <w:r>
              <w:rPr/>
              <w:t>956,017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4" w:name="xdx_986_eus-gaap--ShareBasedCompensation"/>
            <w:bookmarkEnd w:id="524"/>
          </w:p>
        </w:tc>
        <w:tc>
          <w:tcPr>
            <w:tcW w:w="980" w:type="dxa"/>
            <w:tcBorders/>
            <w:shd w:fill="CCEEFF" w:val="clear"/>
            <w:vAlign w:val="center"/>
          </w:tcPr>
          <w:p>
            <w:pPr>
              <w:pStyle w:val="TableContents"/>
              <w:bidi w:val="0"/>
              <w:spacing w:before="0" w:after="283"/>
              <w:jc w:val="right"/>
              <w:rPr/>
            </w:pPr>
            <w:r>
              <w:rPr/>
              <w:t>198,862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bookmarkStart w:id="525" w:name="xdx_984_eus-gaap--ShareBasedCompensation"/>
            <w:bookmarkEnd w:id="525"/>
          </w:p>
        </w:tc>
        <w:tc>
          <w:tcPr>
            <w:tcW w:w="1461" w:type="dxa"/>
            <w:tcBorders/>
            <w:shd w:fill="CCEEFF" w:val="clear"/>
            <w:vAlign w:val="center"/>
          </w:tcPr>
          <w:p>
            <w:pPr>
              <w:pStyle w:val="TableContents"/>
              <w:bidi w:val="0"/>
              <w:spacing w:before="0" w:after="283"/>
              <w:jc w:val="right"/>
              <w:rPr/>
            </w:pPr>
            <w:r>
              <w:rPr/>
              <w:t>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bookmarkStart w:id="526" w:name="xdx_906_ecustom--SharebasedCompensationA"/>
            <w:bookmarkEnd w:id="526"/>
            <w:r>
              <w:rPr/>
              <w:t>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bookmarkStart w:id="527" w:name="xdx_90A_eus-gaap--ShareBasedCompensation"/>
            <w:bookmarkEnd w:id="527"/>
            <w:r>
              <w:rPr/>
              <w:t>-</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8" w:name="xdx_982_ecustom--ShareBasedCompensationA"/>
            <w:bookmarkEnd w:id="528"/>
          </w:p>
        </w:tc>
        <w:tc>
          <w:tcPr>
            <w:tcW w:w="980" w:type="dxa"/>
            <w:tcBorders/>
            <w:shd w:fill="FFFFFF" w:val="clear"/>
            <w:vAlign w:val="center"/>
          </w:tcPr>
          <w:p>
            <w:pPr>
              <w:pStyle w:val="TableContents"/>
              <w:bidi w:val="0"/>
              <w:spacing w:before="0" w:after="283"/>
              <w:jc w:val="right"/>
              <w:rPr/>
            </w:pPr>
            <w:r>
              <w:rPr/>
              <w:t>(55,436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9" w:name="xdx_986_eus-gaap--StockIssuedDuringPerio"/>
            <w:bookmarkEnd w:id="529"/>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0" w:name="xdx_98B_eus-gaap--ShareBasedCompensation"/>
            <w:bookmarkEnd w:id="53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1" w:name="xdx_98C_eus-gaap--ShareBasedCompensation"/>
            <w:bookmarkEnd w:id="53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1,099,443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2" w:name="xdx_989_eus-gaap--ShareBasedCompensation"/>
            <w:bookmarkEnd w:id="532"/>
          </w:p>
        </w:tc>
        <w:tc>
          <w:tcPr>
            <w:tcW w:w="980" w:type="dxa"/>
            <w:tcBorders/>
            <w:shd w:fill="FFFFFF" w:val="clear"/>
            <w:vAlign w:val="center"/>
          </w:tcPr>
          <w:p>
            <w:pPr>
              <w:pStyle w:val="TableContents"/>
              <w:bidi w:val="0"/>
              <w:spacing w:before="0" w:after="283"/>
              <w:jc w:val="right"/>
              <w:rPr/>
            </w:pPr>
            <w:r>
              <w:rPr/>
              <w:t>3,860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w:t>
            </w:r>
            <w:bookmarkStart w:id="533" w:name="xdx_98E_eus-gaap--ShareBasedCompensation"/>
            <w:bookmarkEnd w:id="533"/>
          </w:p>
        </w:tc>
        <w:tc>
          <w:tcPr>
            <w:tcW w:w="1461" w:type="dxa"/>
            <w:tcBorders/>
            <w:shd w:fill="FFFFFF" w:val="clear"/>
            <w:vAlign w:val="center"/>
          </w:tcPr>
          <w:p>
            <w:pPr>
              <w:pStyle w:val="TableContents"/>
              <w:bidi w:val="0"/>
              <w:spacing w:before="0" w:after="283"/>
              <w:jc w:val="right"/>
              <w:rPr/>
            </w:pPr>
            <w:r>
              <w:rPr/>
              <w:t>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bookmarkStart w:id="534" w:name="xdx_903_ecustom--SharebasedCompensationA"/>
            <w:bookmarkEnd w:id="534"/>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bookmarkStart w:id="535" w:name="xdx_90E_eus-gaap--ShareBasedCompensation"/>
            <w:bookmarkEnd w:id="535"/>
            <w:r>
              <w:rPr/>
              <w:t>-</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6" w:name="xdx_989_eus-gaap--StockIssuedDuringPerio"/>
            <w:bookmarkEnd w:id="536"/>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7" w:name="xdx_980_eus-gaap--ShareBasedCompensation"/>
            <w:bookmarkEnd w:id="53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8" w:name="xdx_981_eus-gaap--ShareBasedCompensation"/>
            <w:bookmarkEnd w:id="53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1,103,303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368" w:type="dxa"/>
            <w:tcBorders/>
            <w:shd w:fill="CCEEFF" w:val="clear"/>
            <w:vAlign w:val="center"/>
          </w:tcPr>
          <w:p>
            <w:pPr>
              <w:pStyle w:val="TableContents"/>
              <w:bidi w:val="0"/>
              <w:spacing w:before="0" w:after="283"/>
              <w:jc w:val="left"/>
              <w:rPr/>
            </w:pPr>
            <w:r>
              <w:rPr/>
              <w:t>Vested and expected to vest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9" w:name="xdx_98C_eus-gaap--ShareBasedCompensation"/>
            <w:bookmarkEnd w:id="53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1,103,303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368"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0" w:name="xdx_982_eus-gaap--ShareBasedCompensation"/>
            <w:bookmarkEnd w:id="54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502,918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541" w:name="xdx_8AD_zuWlF2hTWTg8"/>
      <w:bookmarkEnd w:id="5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options issued qualify for equity accounting treatment under ASC 718, </w:t>
      </w:r>
      <w:r>
        <w:rPr>
          <w:rFonts w:ascii="Times New Roman;Times;Serif" w:hAnsi="Times New Roman;Times;Serif"/>
          <w:b w:val="false"/>
          <w:i/>
          <w:caps w:val="false"/>
          <w:smallCaps w:val="false"/>
          <w:sz w:val="20"/>
        </w:rPr>
        <w:t>Compensation- Stock Compensation,</w:t>
      </w:r>
      <w:r>
        <w:rPr>
          <w:rFonts w:ascii="Times New Roman;Times;Serif" w:hAnsi="Times New Roman;Times;Serif"/>
          <w:b w:val="false"/>
          <w:i w:val="false"/>
          <w:caps w:val="false"/>
          <w:smallCaps w:val="false"/>
          <w:sz w:val="20"/>
        </w:rPr>
        <w:t xml:space="preserve"> and are measured at fair value as of their grant date accordingly. The fair value of the options was estimated using a Black-Scholes model. The assumptions that the Company used to estimate the grant-date fair value of stock options granted to employees and directors during the six-month periods ended June 30, 2026 and 2025 were as follows, shown on a weighted average basis:</w:t>
      </w:r>
    </w:p>
    <w:p>
      <w:pPr>
        <w:pStyle w:val="TextBody"/>
        <w:bidi w:val="0"/>
        <w:spacing w:before="0" w:after="0"/>
        <w:ind w:left="720" w:right="0" w:hanging="0"/>
        <w:jc w:val="both"/>
        <w:rPr>
          <w:caps w:val="false"/>
          <w:smallCaps w:val="false"/>
        </w:rPr>
      </w:pPr>
      <w:bookmarkStart w:id="542" w:name="xdx_895_eus-gaap--ScheduleOfShareBasedPa"/>
      <w:bookmarkEnd w:id="542"/>
      <w:r>
        <w:rPr>
          <w:caps w:val="false"/>
          <w:smallCaps w:val="false"/>
        </w:rPr>
        <w:t> </w:t>
      </w:r>
      <w:bookmarkStart w:id="543" w:name="xdx_8B8_zUchT615Nhwl"/>
      <w:bookmarkEnd w:id="543"/>
      <w:r>
        <w:rPr>
          <w:rFonts w:ascii="Times New Roman;Times;Serif" w:hAnsi="Times New Roman;Times;Serif"/>
          <w:b w:val="false"/>
          <w:i w:val="false"/>
          <w:caps w:val="false"/>
          <w:smallCaps w:val="false"/>
          <w:sz w:val="20"/>
        </w:rPr>
        <w:t>Schedule of Fair Value Assumption</w:t>
      </w:r>
    </w:p>
    <w:tbl>
      <w:tblPr>
        <w:tblW w:w="4658" w:type="dxa"/>
        <w:jc w:val="left"/>
        <w:tblInd w:w="0" w:type="dxa"/>
        <w:tblLayout w:type="fixed"/>
        <w:tblCellMar>
          <w:top w:w="0" w:type="dxa"/>
          <w:left w:w="0" w:type="dxa"/>
          <w:bottom w:w="0" w:type="dxa"/>
          <w:right w:w="0" w:type="dxa"/>
        </w:tblCellMar>
      </w:tblPr>
      <w:tblGrid>
        <w:gridCol w:w="2345"/>
        <w:gridCol w:w="60"/>
        <w:gridCol w:w="103"/>
        <w:gridCol w:w="771"/>
        <w:gridCol w:w="215"/>
        <w:gridCol w:w="60"/>
        <w:gridCol w:w="103"/>
        <w:gridCol w:w="771"/>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bookmarkStart w:id="544" w:name="xdx_90B_eus-gaap--ShareBasedCompensation"/>
            <w:bookmarkEnd w:id="544"/>
            <w:r>
              <w:rPr/>
              <w:t>3.83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bookmarkStart w:id="545" w:name="xdx_908_eus-gaap--ShareBasedCompensation"/>
            <w:bookmarkEnd w:id="545"/>
            <w:r>
              <w:rPr/>
              <w:t>4.35</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bookmarkStart w:id="546" w:name="xdx_90D_eus-gaap--SharebasedCompensation"/>
            <w:bookmarkEnd w:id="546"/>
            <w:r>
              <w:rPr/>
              <w:t>5.91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bookmarkStart w:id="547" w:name="xdx_90A_eus-gaap--SharebasedCompensation"/>
            <w:bookmarkEnd w:id="547"/>
            <w:r>
              <w:rPr/>
              <w:t>5.73</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bookmarkStart w:id="548" w:name="xdx_909_eus-gaap--ShareBasedCompensation"/>
            <w:bookmarkEnd w:id="548"/>
            <w:r>
              <w:rPr/>
              <w:t>1.35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bookmarkStart w:id="549" w:name="xdx_90E_eus-gaap--ShareBasedCompensation"/>
            <w:bookmarkEnd w:id="549"/>
            <w:r>
              <w:rPr/>
              <w:t>1.58</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bookmarkStart w:id="550" w:name="xdx_908_eus-gaap--ShareBasedCompensation"/>
            <w:bookmarkEnd w:id="550"/>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bookmarkStart w:id="551" w:name="xdx_909_eus-gaap--ShareBasedCompensation"/>
            <w:bookmarkEnd w:id="551"/>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52" w:name="xdx_8A4_zlAdPXpO27U"/>
      <w:bookmarkEnd w:id="552"/>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The Company based the risk-free interest rate over the expected term of the options based on the constant maturity of U.S. Treasury securities with similar maturities as of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The expected term represents the period that the options granted are expected to be outstanding and is determined using the simplified method (based on the mid-point between the vesting dates and the end of the contractual term.)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The Company uses an average historical stock price volatility of comparable public companies within the biotechnology and pharmaceutical industry that were deemed to be representative of future stock price trends as the Company does not have sufficient trading history for its common stock. The Company will continue to apply this process until a sufficient amount of historical information regarding volatility of its own stock price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The Company has not paid and does not anticipate paying any dividends in the near future. Therefore, the expected dividend yield was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of options granted during the three months ended June 30, 2026 was $</w:t>
      </w:r>
      <w:bookmarkStart w:id="553" w:name="xdx_908_eus-gaap--ShareBasedCompensation"/>
      <w:bookmarkEnd w:id="553"/>
      <w:r>
        <w:rPr>
          <w:rFonts w:ascii="Times New Roman;Times;Serif" w:hAnsi="Times New Roman;Times;Serif"/>
          <w:b w:val="false"/>
          <w:i w:val="false"/>
          <w:caps w:val="false"/>
          <w:smallCaps w:val="false"/>
          <w:sz w:val="20"/>
        </w:rPr>
        <w:t>4.79 and the grant-date fair value of options and shares granted during the six months ended June 30, 2026 ranged from $</w:t>
      </w:r>
      <w:bookmarkStart w:id="554" w:name="xdx_90E_eus-gaap--ShareBasedCompensation"/>
      <w:bookmarkEnd w:id="554"/>
      <w:r>
        <w:rPr>
          <w:rFonts w:ascii="Times New Roman;Times;Serif" w:hAnsi="Times New Roman;Times;Serif"/>
          <w:b w:val="false"/>
          <w:i w:val="false"/>
          <w:caps w:val="false"/>
          <w:smallCaps w:val="false"/>
          <w:sz w:val="20"/>
        </w:rPr>
        <w:t>4.29 to $</w:t>
      </w:r>
      <w:bookmarkStart w:id="555" w:name="xdx_909_eus-gaap--ShareBasedCompensation"/>
      <w:bookmarkEnd w:id="555"/>
      <w:r>
        <w:rPr>
          <w:rFonts w:ascii="Times New Roman;Times;Serif" w:hAnsi="Times New Roman;Times;Serif"/>
          <w:b w:val="false"/>
          <w:i w:val="false"/>
          <w:caps w:val="false"/>
          <w:smallCaps w:val="false"/>
          <w:sz w:val="20"/>
        </w:rPr>
        <w:t>6.85.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intrinsic value of stock options is calculated as the difference between the exercise price of the stock options and the fair value of the Company’s common stock. Because there were no stock options with exercise prices lower than the fair value of the Company’s common stock, the aggregate intrinsic value is </w:t>
      </w:r>
      <w:bookmarkStart w:id="556" w:name="xdx_90E_eus-gaap--ShareBasedCompensation"/>
      <w:bookmarkStart w:id="557" w:name="xdx_909_eus-gaap--ShareBasedCompensation"/>
      <w:bookmarkEnd w:id="556"/>
      <w:bookmarkEnd w:id="557"/>
      <w:r>
        <w:rPr>
          <w:rFonts w:ascii="Times New Roman;Times;Serif" w:hAnsi="Times New Roman;Times;Serif"/>
          <w:b w:val="false"/>
          <w:i w:val="false"/>
          <w:caps w:val="false"/>
          <w:smallCaps w:val="false"/>
          <w:sz w:val="20"/>
        </w:rPr>
        <w:t>zero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each of July 8, 2025 and November 3, 2025, the Company granted a non-qualified stock option award to an officer of the Company to purchase </w:t>
      </w:r>
      <w:bookmarkStart w:id="558" w:name="xdx_901_eus-gaap--StockIssuedDuringPerio"/>
      <w:bookmarkStart w:id="559" w:name="xdx_90A_eus-gaap--StockIssuedDuringPerio"/>
      <w:bookmarkEnd w:id="558"/>
      <w:bookmarkEnd w:id="559"/>
      <w:r>
        <w:rPr>
          <w:rFonts w:ascii="Times New Roman;Times;Serif" w:hAnsi="Times New Roman;Times;Serif"/>
          <w:b w:val="false"/>
          <w:i w:val="false"/>
          <w:caps w:val="false"/>
          <w:smallCaps w:val="false"/>
          <w:sz w:val="20"/>
        </w:rPr>
        <w:t>30,000 shares of common stock at an exercise price of $</w:t>
      </w:r>
      <w:bookmarkStart w:id="560" w:name="xdx_90F_eus-gaap--ShareBasedCompensation"/>
      <w:bookmarkEnd w:id="560"/>
      <w:r>
        <w:rPr>
          <w:rFonts w:ascii="Times New Roman;Times;Serif" w:hAnsi="Times New Roman;Times;Serif"/>
          <w:b w:val="false"/>
          <w:i w:val="false"/>
          <w:caps w:val="false"/>
          <w:smallCaps w:val="false"/>
          <w:sz w:val="20"/>
        </w:rPr>
        <w:t>4.51 and $</w:t>
      </w:r>
      <w:bookmarkStart w:id="561" w:name="xdx_906_eus-gaap--ShareBasedCompensation"/>
      <w:bookmarkEnd w:id="561"/>
      <w:r>
        <w:rPr>
          <w:rFonts w:ascii="Times New Roman;Times;Serif" w:hAnsi="Times New Roman;Times;Serif"/>
          <w:b w:val="false"/>
          <w:i w:val="false"/>
          <w:caps w:val="false"/>
          <w:smallCaps w:val="false"/>
          <w:sz w:val="20"/>
        </w:rPr>
        <w:t>3.80, respectively. These grants were inducement awards in accordance with Nasdaq Listing Rule 5635(c)(4) and were not granted from the EIP. The term of these options is ten years with vesting over four years. The Company recorded stock-based compensation expense of $</w:t>
      </w:r>
      <w:bookmarkStart w:id="562" w:name="xdx_905_eus-gaap--EmployeeBenefitsAndSha"/>
      <w:bookmarkEnd w:id="562"/>
      <w:r>
        <w:rPr>
          <w:rFonts w:ascii="Times New Roman;Times;Serif" w:hAnsi="Times New Roman;Times;Serif"/>
          <w:b w:val="false"/>
          <w:i w:val="false"/>
          <w:caps w:val="false"/>
          <w:smallCaps w:val="false"/>
          <w:sz w:val="20"/>
        </w:rPr>
        <w:t>14,233 and $</w:t>
      </w:r>
      <w:bookmarkStart w:id="563" w:name="xdx_906_eus-gaap--EmployeeBenefitsAndSha"/>
      <w:bookmarkEnd w:id="563"/>
      <w:r>
        <w:rPr>
          <w:rFonts w:ascii="Times New Roman;Times;Serif" w:hAnsi="Times New Roman;Times;Serif"/>
          <w:b w:val="false"/>
          <w:i w:val="false"/>
          <w:caps w:val="false"/>
          <w:smallCaps w:val="false"/>
          <w:sz w:val="20"/>
        </w:rPr>
        <w:t>28,540 during the three and six months ended June 30, 2026. As of June 30, 2026, there was $</w:t>
      </w:r>
      <w:bookmarkStart w:id="564" w:name="xdx_901_eus-gaap--EmployeeServiceShareBa"/>
      <w:bookmarkEnd w:id="564"/>
      <w:r>
        <w:rPr>
          <w:rFonts w:ascii="Times New Roman;Times;Serif" w:hAnsi="Times New Roman;Times;Serif"/>
          <w:b w:val="false"/>
          <w:i w:val="false"/>
          <w:caps w:val="false"/>
          <w:smallCaps w:val="false"/>
          <w:sz w:val="20"/>
        </w:rPr>
        <w:t>181,545 of unrecognized compensation cost related to nonvested share-based compensation related to the inducement grants, which is expected to be recognized over the next one to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5" w:name="xdx_805_ecustom--CommonStockPurchaseWarr"/>
      <w:bookmarkEnd w:id="565"/>
      <w:r>
        <w:rPr>
          <w:rFonts w:ascii="Times New Roman;Times;Serif" w:hAnsi="Times New Roman;Times;Serif"/>
          <w:b/>
          <w:i w:val="false"/>
          <w:caps w:val="false"/>
          <w:smallCaps w:val="false"/>
          <w:sz w:val="20"/>
        </w:rPr>
        <w:t xml:space="preserve">(11) </w:t>
      </w:r>
      <w:bookmarkStart w:id="566" w:name="xdx_820_zmA5HFsa2Nlb"/>
      <w:bookmarkEnd w:id="566"/>
      <w:r>
        <w:rPr>
          <w:rFonts w:ascii="Times New Roman;Times;Serif" w:hAnsi="Times New Roman;Times;Serif"/>
          <w:b/>
          <w:i w:val="false"/>
          <w:caps w:val="false"/>
          <w:smallCaps w:val="false"/>
          <w:sz w:val="20"/>
        </w:rPr>
        <w:t>Common 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Private Placement, the Company issued warrants to purchase up to </w:t>
      </w:r>
      <w:bookmarkStart w:id="567" w:name="xdx_909_eus-gaap--ClassOfWarrantOrRightO"/>
      <w:bookmarkEnd w:id="567"/>
      <w:r>
        <w:rPr>
          <w:rFonts w:ascii="Times New Roman;Times;Serif" w:hAnsi="Times New Roman;Times;Serif"/>
          <w:b w:val="false"/>
          <w:i w:val="false"/>
          <w:caps w:val="false"/>
          <w:smallCaps w:val="false"/>
          <w:sz w:val="20"/>
        </w:rPr>
        <w:t>1,869,415 shares of common stock. These warrants have an exercise price of $</w:t>
      </w:r>
      <w:bookmarkStart w:id="568" w:name="xdx_90C_eus-gaap--ClassOfWarrantOrRightE"/>
      <w:bookmarkEnd w:id="568"/>
      <w:r>
        <w:rPr>
          <w:rFonts w:ascii="Times New Roman;Times;Serif" w:hAnsi="Times New Roman;Times;Serif"/>
          <w:b w:val="false"/>
          <w:i w:val="false"/>
          <w:caps w:val="false"/>
          <w:smallCaps w:val="false"/>
          <w:sz w:val="20"/>
        </w:rPr>
        <w:t>5.04 per share, a three-year term and became exercisable upon stockholder approval at the Company’s special meeting held on March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Private Placement warrants for liability or equity classification in accordance with the provisions of ASC Topic 480, Distinguishing Liabilities from Equity, and ASC Topic 815, Derivatives and Hedging, and determined that equity treatment was appropriate. The Company valued the Private Placement warrants based on their issuance date fair value of $</w:t>
      </w:r>
      <w:bookmarkStart w:id="569" w:name="xdx_901_eus-gaap--ClassOfWarrantOrRightE"/>
      <w:bookmarkEnd w:id="569"/>
      <w:r>
        <w:rPr>
          <w:rFonts w:ascii="Times New Roman;Times;Serif" w:hAnsi="Times New Roman;Times;Serif"/>
          <w:b w:val="false"/>
          <w:i w:val="false"/>
          <w:caps w:val="false"/>
          <w:smallCaps w:val="false"/>
          <w:sz w:val="20"/>
        </w:rPr>
        <w:t>3.74. None of the Private Placement warrants were exercised in the three or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valued using a Black-Scholes model with a risk-free rate of </w:t>
      </w:r>
      <w:bookmarkStart w:id="570" w:name="xdx_906_eus-gaap--ShareBasedCompensation"/>
      <w:bookmarkEnd w:id="570"/>
      <w:r>
        <w:rPr>
          <w:rFonts w:ascii="Times New Roman;Times;Serif" w:hAnsi="Times New Roman;Times;Serif"/>
          <w:b w:val="false"/>
          <w:i w:val="false"/>
          <w:caps w:val="false"/>
          <w:smallCaps w:val="false"/>
          <w:sz w:val="20"/>
        </w:rPr>
        <w:t>3.8%-</w:t>
      </w:r>
      <w:bookmarkStart w:id="571" w:name="xdx_90C_eus-gaap--ShareBasedCompensation"/>
      <w:bookmarkEnd w:id="571"/>
      <w:r>
        <w:rPr>
          <w:rFonts w:ascii="Times New Roman;Times;Serif" w:hAnsi="Times New Roman;Times;Serif"/>
          <w:b w:val="false"/>
          <w:i w:val="false"/>
          <w:caps w:val="false"/>
          <w:smallCaps w:val="false"/>
          <w:sz w:val="20"/>
        </w:rPr>
        <w:t xml:space="preserve">3.9%, the term of three years, and a volatility of </w:t>
      </w:r>
      <w:bookmarkStart w:id="572" w:name="xdx_90D_eus-gaap--ShareBasedCompensation"/>
      <w:bookmarkEnd w:id="572"/>
      <w:r>
        <w:rPr>
          <w:rFonts w:ascii="Times New Roman;Times;Serif" w:hAnsi="Times New Roman;Times;Serif"/>
          <w:b w:val="false"/>
          <w:i w:val="false"/>
          <w:caps w:val="false"/>
          <w:smallCaps w:val="false"/>
          <w:sz w:val="20"/>
        </w:rPr>
        <w:t>1.02. The estimated volatility of the Company’s common stock at the date of measurement is based on an average historical stock price volatility of comparable public companies within the biotechnology and pharmaceutical industry that were deemed to be representative of future stock price trends as the Company does not have sufficient trading history for its common stock. The risk-free rate is based on the expected term of the warrants based on the constant maturity of U.S. Treasury securities with similar maturities as of the date of grant. The expected term has been estimated using the contractual term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of Private Placement were allocated to the common stock and Private Placement warrants using the relative fair value method shown as follows. Fair value of the warrants was recorded to Additional Paid-in-Capital on the Company’s consolidated balance sheet.</w:t>
      </w:r>
    </w:p>
    <w:p>
      <w:pPr>
        <w:pStyle w:val="TextBody"/>
        <w:bidi w:val="0"/>
        <w:spacing w:before="0" w:after="0"/>
        <w:ind w:left="0" w:right="0" w:hanging="0"/>
        <w:jc w:val="both"/>
        <w:rPr>
          <w:caps w:val="false"/>
          <w:smallCaps w:val="false"/>
        </w:rPr>
      </w:pPr>
      <w:bookmarkStart w:id="573" w:name="xdx_897_ecustom--ScheduleOfFairValueOfWa"/>
      <w:bookmarkEnd w:id="573"/>
      <w:r>
        <w:rPr>
          <w:caps w:val="false"/>
          <w:smallCaps w:val="false"/>
        </w:rPr>
        <w:t> </w:t>
      </w:r>
      <w:bookmarkStart w:id="574" w:name="xdx_8B1_zedQRsNb2jxg"/>
      <w:bookmarkEnd w:id="574"/>
      <w:r>
        <w:rPr>
          <w:rFonts w:ascii="Times New Roman;Times;Serif" w:hAnsi="Times New Roman;Times;Serif"/>
          <w:b w:val="false"/>
          <w:i w:val="false"/>
          <w:caps w:val="false"/>
          <w:smallCaps w:val="false"/>
          <w:sz w:val="20"/>
        </w:rPr>
        <w:t>Schedule of Fair Value of the Warrants to Additional Paid in Capital</w:t>
      </w:r>
    </w:p>
    <w:tbl>
      <w:tblPr>
        <w:tblW w:w="6769" w:type="dxa"/>
        <w:jc w:val="left"/>
        <w:tblInd w:w="0" w:type="dxa"/>
        <w:tblLayout w:type="fixed"/>
        <w:tblCellMar>
          <w:top w:w="0" w:type="dxa"/>
          <w:left w:w="0" w:type="dxa"/>
          <w:bottom w:w="0" w:type="dxa"/>
          <w:right w:w="0" w:type="dxa"/>
        </w:tblCellMar>
      </w:tblPr>
      <w:tblGrid>
        <w:gridCol w:w="2645"/>
        <w:gridCol w:w="60"/>
        <w:gridCol w:w="140"/>
        <w:gridCol w:w="1100"/>
        <w:gridCol w:w="60"/>
        <w:gridCol w:w="60"/>
        <w:gridCol w:w="106"/>
        <w:gridCol w:w="1008"/>
        <w:gridCol w:w="215"/>
        <w:gridCol w:w="60"/>
        <w:gridCol w:w="140"/>
        <w:gridCol w:w="110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of Total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Allocated</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75" w:name="xdx_982_eus-gaap--FairValueAdjustmentOfW"/>
            <w:bookmarkEnd w:id="575"/>
          </w:p>
        </w:tc>
        <w:tc>
          <w:tcPr>
            <w:tcW w:w="1100" w:type="dxa"/>
            <w:tcBorders/>
            <w:shd w:fill="CCEEFF" w:val="clear"/>
            <w:vAlign w:val="center"/>
          </w:tcPr>
          <w:p>
            <w:pPr>
              <w:pStyle w:val="TableContents"/>
              <w:bidi w:val="0"/>
              <w:spacing w:before="0" w:after="283"/>
              <w:jc w:val="right"/>
              <w:rPr/>
            </w:pPr>
            <w:r>
              <w:rPr/>
              <w:t>5,019,388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bookmarkStart w:id="576" w:name="xdx_983_ecustom--EquityFairValuePercenta"/>
            <w:bookmarkEnd w:id="576"/>
          </w:p>
        </w:tc>
        <w:tc>
          <w:tcPr>
            <w:tcW w:w="1008" w:type="dxa"/>
            <w:tcBorders/>
            <w:shd w:fill="CCEEFF" w:val="clear"/>
            <w:vAlign w:val="center"/>
          </w:tcPr>
          <w:p>
            <w:pPr>
              <w:pStyle w:val="TableContents"/>
              <w:bidi w:val="0"/>
              <w:spacing w:before="0" w:after="283"/>
              <w:jc w:val="right"/>
              <w:rPr/>
            </w:pPr>
            <w:r>
              <w:rPr/>
              <w:t>41.8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77" w:name="xdx_987_ecustom--AmountAllocated_c202601"/>
            <w:bookmarkEnd w:id="577"/>
          </w:p>
        </w:tc>
        <w:tc>
          <w:tcPr>
            <w:tcW w:w="1100" w:type="dxa"/>
            <w:tcBorders/>
            <w:shd w:fill="CCEEFF" w:val="clear"/>
            <w:vAlign w:val="center"/>
          </w:tcPr>
          <w:p>
            <w:pPr>
              <w:pStyle w:val="TableContents"/>
              <w:bidi w:val="0"/>
              <w:spacing w:before="0" w:after="283"/>
              <w:jc w:val="right"/>
              <w:rPr/>
            </w:pPr>
            <w:r>
              <w:rPr/>
              <w:t>5,020,598</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Private Placement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8" w:name="xdx_98F_eus-gaap--FairValueAdjustmentOfW"/>
            <w:bookmarkEnd w:id="57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6,991,612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9" w:name="xdx_985_ecustom--EquityFairValuePercenta"/>
            <w:bookmarkEnd w:id="579"/>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58.2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0" w:name="xdx_986_ecustom--AmountAllocated_c202601"/>
            <w:bookmarkEnd w:id="58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6,990,402</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1" w:name="xdx_98D_eus-gaap--FairValueAdjustmentOfW"/>
            <w:bookmarkEnd w:id="58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82" w:name="xdx_980_ecustom--EquityFairValuePercenta"/>
            <w:bookmarkEnd w:id="582"/>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3" w:name="xdx_98B_ecustom--AmountAllocated_c202601"/>
            <w:bookmarkEnd w:id="58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12,011,000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4" w:name="xdx_8A0_zUxuwPUedg4h"/>
      <w:bookmarkEnd w:id="58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5" w:name="xdx_896_eus-gaap--ScheduleOfStockholders"/>
      <w:bookmarkEnd w:id="585"/>
      <w:r>
        <w:rPr>
          <w:rFonts w:ascii="Times New Roman;Times;Serif" w:hAnsi="Times New Roman;Times;Serif"/>
          <w:b w:val="false"/>
          <w:i w:val="false"/>
          <w:caps w:val="false"/>
          <w:smallCaps w:val="false"/>
          <w:sz w:val="20"/>
        </w:rPr>
        <w:t>The following table summarizes the Company’s outstanding common stock purchase warrants as of June 30, 2026:</w:t>
      </w:r>
    </w:p>
    <w:p>
      <w:pPr>
        <w:pStyle w:val="TextBody"/>
        <w:bidi w:val="0"/>
        <w:spacing w:before="0" w:after="0"/>
        <w:ind w:left="0" w:right="0" w:hanging="0"/>
        <w:jc w:val="both"/>
        <w:rPr>
          <w:caps w:val="false"/>
          <w:smallCaps w:val="false"/>
        </w:rPr>
      </w:pPr>
      <w:r>
        <w:rPr>
          <w:caps w:val="false"/>
          <w:smallCaps w:val="false"/>
        </w:rPr>
        <w:t> </w:t>
      </w:r>
      <w:bookmarkStart w:id="586" w:name="xdx_8B7_z3EMbcGze5S3"/>
      <w:bookmarkEnd w:id="586"/>
      <w:r>
        <w:rPr>
          <w:rFonts w:ascii="Times New Roman;Times;Serif" w:hAnsi="Times New Roman;Times;Serif"/>
          <w:b w:val="false"/>
          <w:i w:val="false"/>
          <w:caps w:val="false"/>
          <w:smallCaps w:val="false"/>
          <w:sz w:val="20"/>
        </w:rPr>
        <w:t>Schedule of Warrants and Rights Outstanding</w:t>
      </w:r>
    </w:p>
    <w:tbl>
      <w:tblPr>
        <w:tblW w:w="10205" w:type="dxa"/>
        <w:jc w:val="left"/>
        <w:tblInd w:w="0" w:type="dxa"/>
        <w:tblLayout w:type="fixed"/>
        <w:tblCellMar>
          <w:top w:w="0" w:type="dxa"/>
          <w:left w:w="0" w:type="dxa"/>
          <w:bottom w:w="0" w:type="dxa"/>
          <w:right w:w="0" w:type="dxa"/>
        </w:tblCellMar>
      </w:tblPr>
      <w:tblGrid>
        <w:gridCol w:w="4749"/>
        <w:gridCol w:w="60"/>
        <w:gridCol w:w="64"/>
        <w:gridCol w:w="1060"/>
        <w:gridCol w:w="60"/>
        <w:gridCol w:w="60"/>
        <w:gridCol w:w="140"/>
        <w:gridCol w:w="860"/>
        <w:gridCol w:w="60"/>
        <w:gridCol w:w="60"/>
        <w:gridCol w:w="197"/>
        <w:gridCol w:w="1215"/>
        <w:gridCol w:w="60"/>
        <w:gridCol w:w="60"/>
        <w:gridCol w:w="160"/>
        <w:gridCol w:w="1261"/>
        <w:gridCol w:w="79"/>
      </w:tblGrid>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b/>
              </w:rPr>
            </w:pPr>
            <w:r>
              <w:rPr>
                <w:b/>
              </w:rPr>
              <w:t>Issuance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b/>
              </w:rPr>
            </w:pPr>
            <w:r>
              <w:rPr>
                <w:b/>
              </w:rPr>
              <w:t>Issuance Date</w:t>
            </w:r>
          </w:p>
        </w:tc>
        <w:tc>
          <w:tcPr>
            <w:tcW w:w="79"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b/>
              </w:rPr>
            </w:pPr>
            <w:r>
              <w:rPr>
                <w:b/>
              </w:rPr>
              <w:t>Fair Value</w:t>
            </w:r>
          </w:p>
        </w:tc>
        <w:tc>
          <w:tcPr>
            <w:tcW w:w="79"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9" w:type="dxa"/>
            <w:tcBorders/>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December 2021 Initial Public Offering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87" w:name="xdx_984_eus-gaap--ClassOfWarrantOrRightO"/>
            <w:bookmarkEnd w:id="587"/>
          </w:p>
        </w:tc>
        <w:tc>
          <w:tcPr>
            <w:tcW w:w="1060" w:type="dxa"/>
            <w:tcBorders/>
            <w:shd w:fill="CCEEFF" w:val="clear"/>
            <w:vAlign w:val="center"/>
          </w:tcPr>
          <w:p>
            <w:pPr>
              <w:pStyle w:val="TableContents"/>
              <w:bidi w:val="0"/>
              <w:spacing w:before="0" w:after="283"/>
              <w:jc w:val="right"/>
              <w:rPr/>
            </w:pPr>
            <w:r>
              <w:rPr/>
              <w:t>19,965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88" w:name="xdx_98A_eus-gaap--ClassOfWarrantOrRightE"/>
            <w:bookmarkEnd w:id="588"/>
          </w:p>
        </w:tc>
        <w:tc>
          <w:tcPr>
            <w:tcW w:w="860" w:type="dxa"/>
            <w:tcBorders/>
            <w:shd w:fill="CCEEFF" w:val="clear"/>
            <w:vAlign w:val="center"/>
          </w:tcPr>
          <w:p>
            <w:pPr>
              <w:pStyle w:val="TableContents"/>
              <w:bidi w:val="0"/>
              <w:spacing w:before="0" w:after="283"/>
              <w:jc w:val="right"/>
              <w:rPr/>
            </w:pPr>
            <w:r>
              <w:rPr/>
              <w:t>1,440.00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589" w:name="xdx_98A_ecustom--ClassOfWarrantOrRightFa"/>
            <w:bookmarkEnd w:id="589"/>
          </w:p>
        </w:tc>
        <w:tc>
          <w:tcPr>
            <w:tcW w:w="1215" w:type="dxa"/>
            <w:tcBorders/>
            <w:shd w:fill="CCEEFF" w:val="clear"/>
            <w:vAlign w:val="center"/>
          </w:tcPr>
          <w:p>
            <w:pPr>
              <w:pStyle w:val="TableContents"/>
              <w:bidi w:val="0"/>
              <w:spacing w:before="0" w:after="283"/>
              <w:jc w:val="right"/>
              <w:rPr/>
            </w:pPr>
            <w:r>
              <w:rPr/>
              <w:t>1,144.80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bookmarkStart w:id="590" w:name="xdx_987_eus-gaap--WarrantsAndRightsOutst"/>
            <w:bookmarkEnd w:id="590"/>
          </w:p>
        </w:tc>
        <w:tc>
          <w:tcPr>
            <w:tcW w:w="1261" w:type="dxa"/>
            <w:tcBorders/>
            <w:shd w:fill="CCEEFF" w:val="clear"/>
            <w:vAlign w:val="center"/>
          </w:tcPr>
          <w:p>
            <w:pPr>
              <w:pStyle w:val="TableContents"/>
              <w:bidi w:val="0"/>
              <w:spacing w:before="0" w:after="283"/>
              <w:jc w:val="right"/>
              <w:rPr/>
            </w:pPr>
            <w:r>
              <w:rPr/>
              <w:t>22,855,932</w:t>
            </w:r>
          </w:p>
        </w:tc>
        <w:tc>
          <w:tcPr>
            <w:tcW w:w="79" w:type="dxa"/>
            <w:tcBorders/>
            <w:shd w:fill="CCEEFF"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pPr>
            <w:r>
              <w:rPr/>
              <w:t>December 2021 Placement Agent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591" w:name="xdx_983_eus-gaap--ClassOfWarrantOrRightO"/>
            <w:bookmarkEnd w:id="591"/>
          </w:p>
        </w:tc>
        <w:tc>
          <w:tcPr>
            <w:tcW w:w="1060" w:type="dxa"/>
            <w:tcBorders/>
            <w:shd w:fill="FFFFFF" w:val="clear"/>
            <w:vAlign w:val="center"/>
          </w:tcPr>
          <w:p>
            <w:pPr>
              <w:pStyle w:val="TableContents"/>
              <w:bidi w:val="0"/>
              <w:spacing w:before="0" w:after="283"/>
              <w:jc w:val="right"/>
              <w:rPr/>
            </w:pPr>
            <w:r>
              <w:rPr/>
              <w:t>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92" w:name="xdx_986_eus-gaap--ClassOfWarrantOrRightE"/>
            <w:bookmarkEnd w:id="592"/>
          </w:p>
        </w:tc>
        <w:tc>
          <w:tcPr>
            <w:tcW w:w="860"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bookmarkStart w:id="593" w:name="xdx_980_ecustom--ClassOfWarrantOrRightFa"/>
            <w:bookmarkEnd w:id="593"/>
          </w:p>
        </w:tc>
        <w:tc>
          <w:tcPr>
            <w:tcW w:w="1215" w:type="dxa"/>
            <w:tcBorders/>
            <w:shd w:fill="FFFFFF" w:val="clear"/>
            <w:vAlign w:val="center"/>
          </w:tcPr>
          <w:p>
            <w:pPr>
              <w:pStyle w:val="TableContents"/>
              <w:bidi w:val="0"/>
              <w:spacing w:before="0" w:after="283"/>
              <w:jc w:val="right"/>
              <w:rPr/>
            </w:pPr>
            <w:r>
              <w:rPr/>
              <w:t>1,113.48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94" w:name="xdx_98E_eus-gaap--WarrantsAndRightsOutst"/>
            <w:bookmarkEnd w:id="594"/>
          </w:p>
        </w:tc>
        <w:tc>
          <w:tcPr>
            <w:tcW w:w="1261" w:type="dxa"/>
            <w:tcBorders/>
            <w:shd w:fill="FFFFFF" w:val="clear"/>
            <w:vAlign w:val="center"/>
          </w:tcPr>
          <w:p>
            <w:pPr>
              <w:pStyle w:val="TableContents"/>
              <w:bidi w:val="0"/>
              <w:spacing w:before="0" w:after="283"/>
              <w:jc w:val="right"/>
              <w:rPr/>
            </w:pPr>
            <w:r>
              <w:rPr/>
              <w:t>966,501</w:t>
            </w:r>
          </w:p>
        </w:tc>
        <w:tc>
          <w:tcPr>
            <w:tcW w:w="79" w:type="dxa"/>
            <w:tcBorders/>
            <w:shd w:fill="FFFFFF" w:val="clear"/>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September 2023 Public Offering Series A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95" w:name="xdx_981_eus-gaap--ClassOfWarrantOrRightO"/>
            <w:bookmarkEnd w:id="595"/>
          </w:p>
        </w:tc>
        <w:tc>
          <w:tcPr>
            <w:tcW w:w="1060" w:type="dxa"/>
            <w:tcBorders/>
            <w:shd w:fill="CCEEFF" w:val="clear"/>
            <w:vAlign w:val="center"/>
          </w:tcPr>
          <w:p>
            <w:pPr>
              <w:pStyle w:val="TableContents"/>
              <w:bidi w:val="0"/>
              <w:spacing w:before="0" w:after="283"/>
              <w:jc w:val="right"/>
              <w:rPr/>
            </w:pPr>
            <w:r>
              <w:rPr/>
              <w:t>28,855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6" w:name="xdx_98A_eus-gaap--ClassOfWarrantOrRightE"/>
            <w:bookmarkEnd w:id="596"/>
          </w:p>
        </w:tc>
        <w:tc>
          <w:tcPr>
            <w:tcW w:w="860" w:type="dxa"/>
            <w:tcBorders/>
            <w:shd w:fill="CCEEFF" w:val="clear"/>
            <w:vAlign w:val="center"/>
          </w:tcPr>
          <w:p>
            <w:pPr>
              <w:pStyle w:val="TableContents"/>
              <w:bidi w:val="0"/>
              <w:spacing w:before="0" w:after="283"/>
              <w:jc w:val="right"/>
              <w:rPr/>
            </w:pPr>
            <w:r>
              <w:rPr/>
              <w:t>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597" w:name="xdx_98E_ecustom--ClassOfWarrantOrRightFa"/>
            <w:bookmarkEnd w:id="597"/>
          </w:p>
        </w:tc>
        <w:tc>
          <w:tcPr>
            <w:tcW w:w="1215" w:type="dxa"/>
            <w:tcBorders/>
            <w:shd w:fill="CCEEFF" w:val="clear"/>
            <w:vAlign w:val="center"/>
          </w:tcPr>
          <w:p>
            <w:pPr>
              <w:pStyle w:val="TableContents"/>
              <w:bidi w:val="0"/>
              <w:spacing w:before="0" w:after="283"/>
              <w:jc w:val="right"/>
              <w:rPr/>
            </w:pPr>
            <w:r>
              <w:rPr/>
              <w:t>129.84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598" w:name="xdx_98C_eus-gaap--WarrantsAndRightsOutst"/>
            <w:bookmarkEnd w:id="598"/>
          </w:p>
        </w:tc>
        <w:tc>
          <w:tcPr>
            <w:tcW w:w="1261" w:type="dxa"/>
            <w:tcBorders/>
            <w:shd w:fill="CCEEFF" w:val="clear"/>
            <w:vAlign w:val="center"/>
          </w:tcPr>
          <w:p>
            <w:pPr>
              <w:pStyle w:val="TableContents"/>
              <w:bidi w:val="0"/>
              <w:spacing w:before="0" w:after="283"/>
              <w:jc w:val="right"/>
              <w:rPr/>
            </w:pPr>
            <w:r>
              <w:rPr/>
              <w:t>3,746,533</w:t>
            </w:r>
          </w:p>
        </w:tc>
        <w:tc>
          <w:tcPr>
            <w:tcW w:w="79" w:type="dxa"/>
            <w:tcBorders/>
            <w:shd w:fill="CCEEFF"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pPr>
            <w:r>
              <w:rPr/>
              <w:t>September 2023 Placement Agent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599" w:name="xdx_989_eus-gaap--ClassOfWarrantOrRightO"/>
            <w:bookmarkEnd w:id="599"/>
          </w:p>
        </w:tc>
        <w:tc>
          <w:tcPr>
            <w:tcW w:w="1060" w:type="dxa"/>
            <w:tcBorders/>
            <w:shd w:fill="FFFFFF" w:val="clear"/>
            <w:vAlign w:val="center"/>
          </w:tcPr>
          <w:p>
            <w:pPr>
              <w:pStyle w:val="TableContents"/>
              <w:bidi w:val="0"/>
              <w:spacing w:before="0" w:after="283"/>
              <w:jc w:val="right"/>
              <w:rPr/>
            </w:pPr>
            <w:r>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00" w:name="xdx_980_eus-gaap--ClassOfWarrantOrRightE"/>
            <w:bookmarkEnd w:id="600"/>
          </w:p>
        </w:tc>
        <w:tc>
          <w:tcPr>
            <w:tcW w:w="860" w:type="dxa"/>
            <w:tcBorders/>
            <w:shd w:fill="FFFFFF" w:val="clear"/>
            <w:vAlign w:val="center"/>
          </w:tcPr>
          <w:p>
            <w:pPr>
              <w:pStyle w:val="TableContents"/>
              <w:bidi w:val="0"/>
              <w:spacing w:before="0" w:after="283"/>
              <w:jc w:val="right"/>
              <w:rPr/>
            </w:pPr>
            <w:r>
              <w:rPr/>
              <w:t>172.80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bookmarkStart w:id="601" w:name="xdx_987_ecustom--ClassOfWarrantOrRightFa"/>
            <w:bookmarkEnd w:id="601"/>
          </w:p>
        </w:tc>
        <w:tc>
          <w:tcPr>
            <w:tcW w:w="1215" w:type="dxa"/>
            <w:tcBorders/>
            <w:shd w:fill="FFFFFF" w:val="clear"/>
            <w:vAlign w:val="center"/>
          </w:tcPr>
          <w:p>
            <w:pPr>
              <w:pStyle w:val="TableContents"/>
              <w:bidi w:val="0"/>
              <w:spacing w:before="0" w:after="283"/>
              <w:jc w:val="right"/>
              <w:rPr/>
            </w:pPr>
            <w:r>
              <w:rPr/>
              <w:t>127.56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02" w:name="xdx_98B_eus-gaap--WarrantsAndRightsOutst"/>
            <w:bookmarkEnd w:id="602"/>
          </w:p>
        </w:tc>
        <w:tc>
          <w:tcPr>
            <w:tcW w:w="1261" w:type="dxa"/>
            <w:tcBorders/>
            <w:shd w:fill="FFFFFF" w:val="clear"/>
            <w:vAlign w:val="center"/>
          </w:tcPr>
          <w:p>
            <w:pPr>
              <w:pStyle w:val="TableContents"/>
              <w:bidi w:val="0"/>
              <w:spacing w:before="0" w:after="283"/>
              <w:jc w:val="right"/>
              <w:rPr/>
            </w:pPr>
            <w:r>
              <w:rPr/>
              <w:t>184,069</w:t>
            </w:r>
          </w:p>
        </w:tc>
        <w:tc>
          <w:tcPr>
            <w:tcW w:w="79" w:type="dxa"/>
            <w:tcBorders/>
            <w:shd w:fill="FFFFFF" w:val="clear"/>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February 2024 Public Offering Series A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03" w:name="xdx_983_eus-gaap--ClassOfWarrantOrRightO"/>
            <w:bookmarkEnd w:id="603"/>
          </w:p>
        </w:tc>
        <w:tc>
          <w:tcPr>
            <w:tcW w:w="1060" w:type="dxa"/>
            <w:tcBorders/>
            <w:shd w:fill="CCEEFF" w:val="clear"/>
            <w:vAlign w:val="center"/>
          </w:tcPr>
          <w:p>
            <w:pPr>
              <w:pStyle w:val="TableContents"/>
              <w:bidi w:val="0"/>
              <w:spacing w:before="0" w:after="283"/>
              <w:jc w:val="right"/>
              <w:rPr/>
            </w:pPr>
            <w:r>
              <w:rPr/>
              <w:t>135,417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04" w:name="xdx_98F_eus-gaap--ClassOfWarrantOrRightE"/>
            <w:bookmarkEnd w:id="604"/>
          </w:p>
        </w:tc>
        <w:tc>
          <w:tcPr>
            <w:tcW w:w="860" w:type="dxa"/>
            <w:tcBorders/>
            <w:shd w:fill="CCEEFF" w:val="cle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605" w:name="xdx_985_ecustom--ClassOfWarrantOrRightFa"/>
            <w:bookmarkEnd w:id="605"/>
          </w:p>
        </w:tc>
        <w:tc>
          <w:tcPr>
            <w:tcW w:w="1215" w:type="dxa"/>
            <w:tcBorders/>
            <w:shd w:fill="CCEEFF" w:val="clear"/>
            <w:vAlign w:val="center"/>
          </w:tcPr>
          <w:p>
            <w:pPr>
              <w:pStyle w:val="TableContents"/>
              <w:bidi w:val="0"/>
              <w:spacing w:before="0" w:after="283"/>
              <w:jc w:val="right"/>
              <w:rPr/>
            </w:pPr>
            <w:r>
              <w:rPr/>
              <w:t>14.04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06" w:name="xdx_98E_eus-gaap--WarrantsAndRightsOutst"/>
            <w:bookmarkEnd w:id="606"/>
          </w:p>
        </w:tc>
        <w:tc>
          <w:tcPr>
            <w:tcW w:w="1261" w:type="dxa"/>
            <w:tcBorders/>
            <w:shd w:fill="CCEEFF" w:val="clear"/>
            <w:vAlign w:val="center"/>
          </w:tcPr>
          <w:p>
            <w:pPr>
              <w:pStyle w:val="TableContents"/>
              <w:bidi w:val="0"/>
              <w:spacing w:before="0" w:after="283"/>
              <w:jc w:val="right"/>
              <w:rPr/>
            </w:pPr>
            <w:r>
              <w:rPr/>
              <w:t>1,901,255</w:t>
            </w:r>
          </w:p>
        </w:tc>
        <w:tc>
          <w:tcPr>
            <w:tcW w:w="79" w:type="dxa"/>
            <w:tcBorders/>
            <w:shd w:fill="CCEEFF"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pPr>
            <w:r>
              <w:rPr/>
              <w:t>February 2024 Placement Agent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07" w:name="xdx_983_eus-gaap--ClassOfWarrantOrRightO"/>
            <w:bookmarkEnd w:id="607"/>
          </w:p>
        </w:tc>
        <w:tc>
          <w:tcPr>
            <w:tcW w:w="1060"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08" w:name="xdx_98B_eus-gaap--ClassOfWarrantOrRightE"/>
            <w:bookmarkEnd w:id="608"/>
          </w:p>
        </w:tc>
        <w:tc>
          <w:tcPr>
            <w:tcW w:w="860" w:type="dxa"/>
            <w:tcBorders/>
            <w:shd w:fill="FFFFFF" w:val="cle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bookmarkStart w:id="609" w:name="xdx_982_ecustom--ClassOfWarrantOrRightFa"/>
            <w:bookmarkEnd w:id="609"/>
          </w:p>
        </w:tc>
        <w:tc>
          <w:tcPr>
            <w:tcW w:w="1215" w:type="dxa"/>
            <w:tcBorders/>
            <w:shd w:fill="FFFFFF" w:val="clear"/>
            <w:vAlign w:val="center"/>
          </w:tcPr>
          <w:p>
            <w:pPr>
              <w:pStyle w:val="TableContents"/>
              <w:bidi w:val="0"/>
              <w:spacing w:before="0" w:after="283"/>
              <w:jc w:val="right"/>
              <w:rPr/>
            </w:pPr>
            <w:r>
              <w:rPr/>
              <w:t>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10" w:name="xdx_98C_eus-gaap--WarrantsAndRightsOutst"/>
            <w:bookmarkEnd w:id="610"/>
          </w:p>
        </w:tc>
        <w:tc>
          <w:tcPr>
            <w:tcW w:w="1261" w:type="dxa"/>
            <w:tcBorders/>
            <w:shd w:fill="FFFFFF" w:val="clear"/>
            <w:vAlign w:val="center"/>
          </w:tcPr>
          <w:p>
            <w:pPr>
              <w:pStyle w:val="TableContents"/>
              <w:bidi w:val="0"/>
              <w:spacing w:before="0" w:after="283"/>
              <w:jc w:val="right"/>
              <w:rPr/>
            </w:pPr>
            <w:r>
              <w:rPr/>
              <w:t>172,500</w:t>
            </w:r>
          </w:p>
        </w:tc>
        <w:tc>
          <w:tcPr>
            <w:tcW w:w="79" w:type="dxa"/>
            <w:tcBorders/>
            <w:shd w:fill="FFFFFF" w:val="clear"/>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June 2024 Series C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11" w:name="xdx_982_eus-gaap--ClassOfWarrantOrRightO"/>
            <w:bookmarkEnd w:id="611"/>
          </w:p>
        </w:tc>
        <w:tc>
          <w:tcPr>
            <w:tcW w:w="1060" w:type="dxa"/>
            <w:tcBorders/>
            <w:shd w:fill="CCEEFF" w:val="clear"/>
            <w:vAlign w:val="center"/>
          </w:tcPr>
          <w:p>
            <w:pPr>
              <w:pStyle w:val="TableContents"/>
              <w:bidi w:val="0"/>
              <w:spacing w:before="0" w:after="283"/>
              <w:jc w:val="right"/>
              <w:rPr/>
            </w:pPr>
            <w:r>
              <w:rPr/>
              <w:t>354,167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12" w:name="xdx_98C_eus-gaap--ClassOfWarrantOrRightE"/>
            <w:bookmarkEnd w:id="612"/>
          </w:p>
        </w:tc>
        <w:tc>
          <w:tcPr>
            <w:tcW w:w="860" w:type="dxa"/>
            <w:tcBorders/>
            <w:shd w:fill="CCEEFF" w:val="clear"/>
            <w:vAlign w:val="center"/>
          </w:tcPr>
          <w:p>
            <w:pPr>
              <w:pStyle w:val="TableContents"/>
              <w:bidi w:val="0"/>
              <w:spacing w:before="0" w:after="283"/>
              <w:jc w:val="right"/>
              <w:rPr/>
            </w:pPr>
            <w:r>
              <w:rPr/>
              <w:t>7.020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613" w:name="xdx_989_ecustom--ClassOfWarrantOrRightFa"/>
            <w:bookmarkEnd w:id="613"/>
          </w:p>
        </w:tc>
        <w:tc>
          <w:tcPr>
            <w:tcW w:w="1215" w:type="dxa"/>
            <w:tcBorders/>
            <w:shd w:fill="CCEEFF" w:val="clear"/>
            <w:vAlign w:val="center"/>
          </w:tcPr>
          <w:p>
            <w:pPr>
              <w:pStyle w:val="TableContents"/>
              <w:bidi w:val="0"/>
              <w:spacing w:before="0" w:after="283"/>
              <w:jc w:val="right"/>
              <w:rPr/>
            </w:pPr>
            <w:r>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14" w:name="xdx_98C_eus-gaap--WarrantsAndRightsOutst"/>
            <w:bookmarkEnd w:id="614"/>
          </w:p>
        </w:tc>
        <w:tc>
          <w:tcPr>
            <w:tcW w:w="1261" w:type="dxa"/>
            <w:tcBorders/>
            <w:shd w:fill="CCEEFF" w:val="clear"/>
            <w:vAlign w:val="center"/>
          </w:tcPr>
          <w:p>
            <w:pPr>
              <w:pStyle w:val="TableContents"/>
              <w:bidi w:val="0"/>
              <w:spacing w:before="0" w:after="283"/>
              <w:jc w:val="right"/>
              <w:rPr/>
            </w:pPr>
            <w:r>
              <w:rPr/>
              <w:t>1,147,501</w:t>
            </w:r>
          </w:p>
        </w:tc>
        <w:tc>
          <w:tcPr>
            <w:tcW w:w="79" w:type="dxa"/>
            <w:tcBorders/>
            <w:shd w:fill="CCEEFF"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pPr>
            <w:r>
              <w:rPr/>
              <w:t>June 2024 Series D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615" w:name="xdx_982_eus-gaap--ClassOfWarrantOrRightO"/>
            <w:bookmarkEnd w:id="615"/>
          </w:p>
        </w:tc>
        <w:tc>
          <w:tcPr>
            <w:tcW w:w="1060" w:type="dxa"/>
            <w:tcBorders/>
            <w:shd w:fill="FFFFFF" w:val="clear"/>
            <w:vAlign w:val="center"/>
          </w:tcPr>
          <w:p>
            <w:pPr>
              <w:pStyle w:val="TableContents"/>
              <w:bidi w:val="0"/>
              <w:spacing w:before="0" w:after="283"/>
              <w:jc w:val="right"/>
              <w:rPr/>
            </w:pPr>
            <w:r>
              <w:rPr/>
              <w:t>177,083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16" w:name="xdx_986_eus-gaap--ClassOfWarrantOrRightE"/>
            <w:bookmarkEnd w:id="616"/>
          </w:p>
        </w:tc>
        <w:tc>
          <w:tcPr>
            <w:tcW w:w="860" w:type="dxa"/>
            <w:tcBorders/>
            <w:shd w:fill="FFFFFF" w:val="clear"/>
            <w:vAlign w:val="center"/>
          </w:tcPr>
          <w:p>
            <w:pPr>
              <w:pStyle w:val="TableContents"/>
              <w:bidi w:val="0"/>
              <w:spacing w:before="0" w:after="283"/>
              <w:jc w:val="right"/>
              <w:rPr/>
            </w:pPr>
            <w:r>
              <w:rPr/>
              <w:t>7.020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bookmarkStart w:id="617" w:name="xdx_986_ecustom--ClassOfWarrantOrRightFa"/>
            <w:bookmarkEnd w:id="617"/>
          </w:p>
        </w:tc>
        <w:tc>
          <w:tcPr>
            <w:tcW w:w="1215" w:type="dxa"/>
            <w:tcBorders/>
            <w:shd w:fill="FFFFFF" w:val="clear"/>
            <w:vAlign w:val="center"/>
          </w:tcPr>
          <w:p>
            <w:pPr>
              <w:pStyle w:val="TableContents"/>
              <w:bidi w:val="0"/>
              <w:spacing w:before="0" w:after="283"/>
              <w:jc w:val="right"/>
              <w:rPr/>
            </w:pPr>
            <w:r>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618" w:name="xdx_98A_eus-gaap--WarrantsAndRightsOutst"/>
            <w:bookmarkEnd w:id="618"/>
          </w:p>
        </w:tc>
        <w:tc>
          <w:tcPr>
            <w:tcW w:w="1261" w:type="dxa"/>
            <w:tcBorders/>
            <w:shd w:fill="FFFFFF" w:val="clear"/>
            <w:vAlign w:val="center"/>
          </w:tcPr>
          <w:p>
            <w:pPr>
              <w:pStyle w:val="TableContents"/>
              <w:bidi w:val="0"/>
              <w:spacing w:before="0" w:after="283"/>
              <w:jc w:val="right"/>
              <w:rPr/>
            </w:pPr>
            <w:r>
              <w:rPr/>
              <w:t>424,999</w:t>
            </w:r>
          </w:p>
        </w:tc>
        <w:tc>
          <w:tcPr>
            <w:tcW w:w="79" w:type="dxa"/>
            <w:tcBorders/>
            <w:shd w:fill="FFFFFF" w:val="clear"/>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July 2024 Placement Agent Warrants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619" w:name="xdx_98A_eus-gaap--ClassOfWarrantOrRightO"/>
            <w:bookmarkEnd w:id="619"/>
          </w:p>
        </w:tc>
        <w:tc>
          <w:tcPr>
            <w:tcW w:w="1060" w:type="dxa"/>
            <w:tcBorders/>
            <w:shd w:fill="CCEEFF" w:val="clear"/>
            <w:vAlign w:val="center"/>
          </w:tcPr>
          <w:p>
            <w:pPr>
              <w:pStyle w:val="TableContents"/>
              <w:bidi w:val="0"/>
              <w:spacing w:before="0" w:after="283"/>
              <w:jc w:val="right"/>
              <w:rPr/>
            </w:pPr>
            <w:r>
              <w:rPr/>
              <w:t>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20" w:name="xdx_98F_eus-gaap--ClassOfWarrantOrRightE"/>
            <w:bookmarkEnd w:id="620"/>
          </w:p>
        </w:tc>
        <w:tc>
          <w:tcPr>
            <w:tcW w:w="860" w:type="dxa"/>
            <w:tcBorders/>
            <w:shd w:fill="CCEEFF" w:val="clear"/>
            <w:vAlign w:val="center"/>
          </w:tcPr>
          <w:p>
            <w:pPr>
              <w:pStyle w:val="TableContents"/>
              <w:bidi w:val="0"/>
              <w:spacing w:before="0" w:after="283"/>
              <w:jc w:val="right"/>
              <w:rPr/>
            </w:pPr>
            <w:r>
              <w:rPr/>
              <w:t>8.780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bookmarkStart w:id="621" w:name="xdx_980_ecustom--ClassOfWarrantOrRightFa"/>
            <w:bookmarkEnd w:id="621"/>
          </w:p>
        </w:tc>
        <w:tc>
          <w:tcPr>
            <w:tcW w:w="1215"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622" w:name="xdx_984_eus-gaap--WarrantsAndRightsOutst"/>
            <w:bookmarkEnd w:id="622"/>
          </w:p>
        </w:tc>
        <w:tc>
          <w:tcPr>
            <w:tcW w:w="1261" w:type="dxa"/>
            <w:tcBorders/>
            <w:shd w:fill="CCEEFF" w:val="clear"/>
            <w:vAlign w:val="center"/>
          </w:tcPr>
          <w:p>
            <w:pPr>
              <w:pStyle w:val="TableContents"/>
              <w:bidi w:val="0"/>
              <w:spacing w:before="0" w:after="283"/>
              <w:jc w:val="right"/>
              <w:rPr/>
            </w:pPr>
            <w:r>
              <w:rPr/>
              <w:t>47,388</w:t>
            </w:r>
          </w:p>
        </w:tc>
        <w:tc>
          <w:tcPr>
            <w:tcW w:w="79" w:type="dxa"/>
            <w:tcBorders/>
            <w:shd w:fill="CCEEFF"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pPr>
            <w:r>
              <w:rPr/>
              <w:t>February 2026 Private Placement Warrants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3" w:name="xdx_989_eus-gaap--ClassOfWarrantOrRightO"/>
            <w:bookmarkEnd w:id="623"/>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1,869,415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24" w:name="xdx_98E_eus-gaap--ClassOfWarrantOrRightE"/>
            <w:bookmarkEnd w:id="624"/>
          </w:p>
        </w:tc>
        <w:tc>
          <w:tcPr>
            <w:tcW w:w="860" w:type="dxa"/>
            <w:tcBorders/>
            <w:shd w:fill="FFFFFF" w:val="clear"/>
            <w:vAlign w:val="center"/>
          </w:tcPr>
          <w:p>
            <w:pPr>
              <w:pStyle w:val="TableContents"/>
              <w:bidi w:val="0"/>
              <w:spacing w:before="0" w:after="283"/>
              <w:jc w:val="right"/>
              <w:rPr/>
            </w:pPr>
            <w:r>
              <w:rPr/>
              <w:t>5.040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bookmarkStart w:id="625" w:name="xdx_98B_ecustom--ClassOfWarrantOrRightFa"/>
            <w:bookmarkEnd w:id="625"/>
          </w:p>
        </w:tc>
        <w:tc>
          <w:tcPr>
            <w:tcW w:w="1215" w:type="dxa"/>
            <w:tcBorders/>
            <w:shd w:fill="FFFFFF" w:val="clear"/>
            <w:vAlign w:val="center"/>
          </w:tcPr>
          <w:p>
            <w:pPr>
              <w:pStyle w:val="TableContents"/>
              <w:bidi w:val="0"/>
              <w:spacing w:before="0" w:after="283"/>
              <w:jc w:val="right"/>
              <w:rPr/>
            </w:pPr>
            <w:r>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6" w:name="xdx_981_eus-gaap--WarrantsAndRightsOutst"/>
            <w:bookmarkEnd w:id="626"/>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6,991,612</w:t>
            </w:r>
          </w:p>
        </w:tc>
        <w:tc>
          <w:tcPr>
            <w:tcW w:w="79" w:type="dxa"/>
            <w:tcBorders/>
            <w:shd w:fill="FFFFFF" w:val="clear"/>
            <w:vAlign w:val="center"/>
          </w:tcPr>
          <w:p>
            <w:pPr>
              <w:pStyle w:val="TableContents"/>
              <w:bidi w:val="0"/>
              <w:spacing w:before="0" w:after="283"/>
              <w:jc w:val="left"/>
              <w:rPr/>
            </w:pPr>
            <w:r>
              <w:rPr/>
              <w:t> </w:t>
            </w:r>
          </w:p>
        </w:tc>
      </w:tr>
      <w:tr>
        <w:trPr/>
        <w:tc>
          <w:tcPr>
            <w:tcW w:w="4749" w:type="dxa"/>
            <w:tcBorders/>
            <w:shd w:fill="CCEEFF" w:val="clear"/>
            <w:vAlign w:val="center"/>
          </w:tcPr>
          <w:p>
            <w:pPr>
              <w:pStyle w:val="TableContents"/>
              <w:bidi w:val="0"/>
              <w:spacing w:before="0" w:after="283"/>
              <w:jc w:val="left"/>
              <w:rPr/>
            </w:pPr>
            <w:r>
              <w:rPr/>
              <w:t>Balance-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7" w:name="xdx_981_eus-gaap--ClassOfWarrantOrRightO"/>
            <w:bookmarkEnd w:id="627"/>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2,620,963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28" w:name="xdx_984_eus-gaap--WarrantsAndRightsOutst"/>
            <w:bookmarkEnd w:id="628"/>
          </w:p>
        </w:tc>
        <w:tc>
          <w:tcPr>
            <w:tcW w:w="1261" w:type="dxa"/>
            <w:tcBorders>
              <w:bottom w:val="double" w:sz="6" w:space="0" w:color="000000"/>
            </w:tcBorders>
            <w:shd w:fill="CCEEFF" w:val="clear"/>
            <w:tcMar>
              <w:bottom w:w="28" w:type="dxa"/>
            </w:tcMar>
            <w:vAlign w:val="center"/>
          </w:tcPr>
          <w:p>
            <w:pPr>
              <w:pStyle w:val="TableContents"/>
              <w:bidi w:val="0"/>
              <w:spacing w:before="0" w:after="283"/>
              <w:jc w:val="right"/>
              <w:rPr/>
            </w:pPr>
            <w:r>
              <w:rPr/>
              <w:t>38,438,290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9" w:name="xdx_8AE_zr48gPup1t2f"/>
      <w:bookmarkEnd w:id="62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0" w:name="xdx_80D_eus-gaap--IncomeTaxDisclosureTex"/>
      <w:bookmarkEnd w:id="630"/>
      <w:r>
        <w:rPr>
          <w:rFonts w:ascii="Times New Roman;Times;Serif" w:hAnsi="Times New Roman;Times;Serif"/>
          <w:b/>
          <w:i w:val="false"/>
          <w:caps w:val="false"/>
          <w:smallCaps w:val="false"/>
          <w:sz w:val="20"/>
        </w:rPr>
        <w:t xml:space="preserve">(12) </w:t>
      </w:r>
      <w:bookmarkStart w:id="631" w:name="xdx_823_zBKoZ3wTYlS5"/>
      <w:bookmarkEnd w:id="63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is taxed as a C corporation under the Internal Revenue Code. Cingulate Inc. records deferred income taxes to reflect the impact of temporary differences between the recorded amounts of assets and liabilities for financial reporting purposes and such amounts as measured by tax laws and regulations. CTx is a wholly-owned disregarded entity of Cingulate Inc., and all of the activity for CTx, along with its wholly-owned subsidiary Cingulate Works Inc., is included in the calculation of the current and deferred tax assets and liabilities for Cingulate Inc. No deferred income tax benefit or expense was recorded for the three-month periods ended June 30, 2026 and 2025 or the six-month periods ended June 30, 2026 and 2025, for federal or state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2" w:name="xdx_892_eus-gaap--ScheduleOfEffectiveInc"/>
      <w:bookmarkEnd w:id="632"/>
      <w:r>
        <w:rPr>
          <w:rFonts w:ascii="Times New Roman;Times;Serif" w:hAnsi="Times New Roman;Times;Serif"/>
          <w:b w:val="false"/>
          <w:i w:val="false"/>
          <w:caps w:val="false"/>
          <w:smallCaps w:val="false"/>
          <w:sz w:val="20"/>
        </w:rPr>
        <w:t>Income tax expense differed from the expected expense computed by applying the U.S. Federal income tax rate as follows:</w:t>
      </w:r>
    </w:p>
    <w:p>
      <w:pPr>
        <w:pStyle w:val="TextBody"/>
        <w:bidi w:val="0"/>
        <w:spacing w:before="0" w:after="0"/>
        <w:ind w:left="0" w:right="0" w:hanging="0"/>
        <w:jc w:val="both"/>
        <w:rPr>
          <w:caps w:val="false"/>
          <w:smallCaps w:val="false"/>
        </w:rPr>
      </w:pPr>
      <w:r>
        <w:rPr>
          <w:caps w:val="false"/>
          <w:smallCaps w:val="false"/>
        </w:rPr>
        <w:t> </w:t>
      </w:r>
      <w:bookmarkStart w:id="633" w:name="xdx_8B6_z1S2Id9aXTqa"/>
      <w:bookmarkEnd w:id="633"/>
      <w:r>
        <w:rPr>
          <w:rFonts w:ascii="Times New Roman;Times;Serif" w:hAnsi="Times New Roman;Times;Serif"/>
          <w:b w:val="false"/>
          <w:i w:val="false"/>
          <w:caps w:val="false"/>
          <w:smallCaps w:val="false"/>
          <w:sz w:val="20"/>
        </w:rPr>
        <w:t>Schedule of Effective Income Tax Rate Reconciliation</w:t>
      </w:r>
    </w:p>
    <w:tbl>
      <w:tblPr>
        <w:tblW w:w="10205" w:type="dxa"/>
        <w:jc w:val="left"/>
        <w:tblInd w:w="0" w:type="dxa"/>
        <w:tblLayout w:type="fixed"/>
        <w:tblCellMar>
          <w:top w:w="0" w:type="dxa"/>
          <w:left w:w="0" w:type="dxa"/>
          <w:bottom w:w="0" w:type="dxa"/>
          <w:right w:w="0" w:type="dxa"/>
        </w:tblCellMar>
      </w:tblPr>
      <w:tblGrid>
        <w:gridCol w:w="1972"/>
        <w:gridCol w:w="60"/>
        <w:gridCol w:w="227"/>
        <w:gridCol w:w="1717"/>
        <w:gridCol w:w="95"/>
        <w:gridCol w:w="60"/>
        <w:gridCol w:w="227"/>
        <w:gridCol w:w="1717"/>
        <w:gridCol w:w="95"/>
        <w:gridCol w:w="60"/>
        <w:gridCol w:w="217"/>
        <w:gridCol w:w="1636"/>
        <w:gridCol w:w="95"/>
        <w:gridCol w:w="60"/>
        <w:gridCol w:w="217"/>
        <w:gridCol w:w="1636"/>
        <w:gridCol w:w="114"/>
      </w:tblGrid>
      <w:tr>
        <w:trPr/>
        <w:tc>
          <w:tcPr>
            <w:tcW w:w="19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4" w:name="xdx_492_20260401__20260630_zYM5j51naRe1"/>
            <w:bookmarkEnd w:id="634"/>
          </w:p>
        </w:tc>
        <w:tc>
          <w:tcPr>
            <w:tcW w:w="19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5" w:name="xdx_492_20250401__20250630_zctoYWW8wCV5"/>
            <w:bookmarkEnd w:id="635"/>
          </w:p>
        </w:tc>
        <w:tc>
          <w:tcPr>
            <w:tcW w:w="19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6" w:name="xdx_496_20260101__20260630_zTEda6qiq0C9"/>
            <w:bookmarkEnd w:id="636"/>
          </w:p>
        </w:tc>
        <w:tc>
          <w:tcPr>
            <w:tcW w:w="18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7" w:name="xdx_490_20250101__20250630_zZFaxtDebik3"/>
            <w:bookmarkEnd w:id="637"/>
          </w:p>
        </w:tc>
        <w:tc>
          <w:tcPr>
            <w:tcW w:w="18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4" w:type="dxa"/>
            <w:tcBorders/>
            <w:vAlign w:val="center"/>
          </w:tcPr>
          <w:p>
            <w:pPr>
              <w:pStyle w:val="TableContents"/>
              <w:bidi w:val="0"/>
              <w:spacing w:before="0" w:after="283"/>
              <w:jc w:val="left"/>
              <w:rPr/>
            </w:pPr>
            <w:r>
              <w:rPr/>
              <w:t> </w:t>
            </w:r>
            <w:bookmarkStart w:id="638" w:name="xdx_400_eus-gaap--IncomeTaxReconciliatio"/>
            <w:bookmarkEnd w:id="638"/>
          </w:p>
        </w:tc>
      </w:tr>
      <w:tr>
        <w:trPr/>
        <w:tc>
          <w:tcPr>
            <w:tcW w:w="1972" w:type="dxa"/>
            <w:tcBorders/>
            <w:shd w:fill="CCEEFF" w:val="clear"/>
            <w:vAlign w:val="center"/>
          </w:tcPr>
          <w:p>
            <w:pPr>
              <w:pStyle w:val="TableContents"/>
              <w:bidi w:val="0"/>
              <w:spacing w:before="0" w:after="283"/>
              <w:jc w:val="left"/>
              <w:rPr/>
            </w:pPr>
            <w:r>
              <w:rPr/>
              <w:t>Federal income tax benefit at statutory rate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7" w:type="dxa"/>
            <w:tcBorders/>
            <w:shd w:fill="CCEEFF" w:val="clear"/>
            <w:vAlign w:val="center"/>
          </w:tcPr>
          <w:p>
            <w:pPr>
              <w:pStyle w:val="TableContents"/>
              <w:bidi w:val="0"/>
              <w:spacing w:before="0" w:after="283"/>
              <w:jc w:val="right"/>
              <w:rPr/>
            </w:pPr>
            <w:r>
              <w:rPr/>
              <w:t>(1,232,755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717" w:type="dxa"/>
            <w:tcBorders/>
            <w:shd w:fill="CCEEFF" w:val="clear"/>
            <w:vAlign w:val="center"/>
          </w:tcPr>
          <w:p>
            <w:pPr>
              <w:pStyle w:val="TableContents"/>
              <w:bidi w:val="0"/>
              <w:spacing w:before="0" w:after="283"/>
              <w:jc w:val="right"/>
              <w:rPr/>
            </w:pPr>
            <w:r>
              <w:rPr/>
              <w:t>(1,044,568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636" w:type="dxa"/>
            <w:tcBorders/>
            <w:shd w:fill="CCEEFF" w:val="clear"/>
            <w:vAlign w:val="center"/>
          </w:tcPr>
          <w:p>
            <w:pPr>
              <w:pStyle w:val="TableContents"/>
              <w:bidi w:val="0"/>
              <w:spacing w:before="0" w:after="283"/>
              <w:jc w:val="right"/>
              <w:rPr/>
            </w:pPr>
            <w:r>
              <w:rPr/>
              <w:t>(3,188,294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636" w:type="dxa"/>
            <w:tcBorders/>
            <w:shd w:fill="CCEEFF" w:val="clear"/>
            <w:vAlign w:val="center"/>
          </w:tcPr>
          <w:p>
            <w:pPr>
              <w:pStyle w:val="TableContents"/>
              <w:bidi w:val="0"/>
              <w:spacing w:before="0" w:after="283"/>
              <w:jc w:val="right"/>
              <w:rPr/>
            </w:pPr>
            <w:r>
              <w:rPr/>
              <w:t>(1,853,641</w:t>
            </w:r>
          </w:p>
        </w:tc>
        <w:tc>
          <w:tcPr>
            <w:tcW w:w="114" w:type="dxa"/>
            <w:tcBorders/>
            <w:shd w:fill="CCEEFF" w:val="clear"/>
            <w:vAlign w:val="center"/>
          </w:tcPr>
          <w:p>
            <w:pPr>
              <w:pStyle w:val="TableContents"/>
              <w:bidi w:val="0"/>
              <w:spacing w:before="0" w:after="283"/>
              <w:jc w:val="left"/>
              <w:rPr/>
            </w:pPr>
            <w:r>
              <w:rPr/>
              <w:t>)</w:t>
            </w:r>
            <w:bookmarkStart w:id="639" w:name="xdx_40D_eus-gaap--IncomeTaxReconciliatio"/>
            <w:bookmarkEnd w:id="639"/>
          </w:p>
        </w:tc>
      </w:tr>
      <w:tr>
        <w:trPr/>
        <w:tc>
          <w:tcPr>
            <w:tcW w:w="1972" w:type="dxa"/>
            <w:tcBorders/>
            <w:shd w:fill="FFFFFF" w:val="clear"/>
            <w:vAlign w:val="center"/>
          </w:tcPr>
          <w:p>
            <w:pPr>
              <w:pStyle w:val="TableContents"/>
              <w:bidi w:val="0"/>
              <w:spacing w:before="0" w:after="283"/>
              <w:jc w:val="left"/>
              <w:rPr/>
            </w:pPr>
            <w:r>
              <w:rPr/>
              <w:t>State income tax benefit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pPr>
            <w:r>
              <w:rPr/>
              <w:t>(198,492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pPr>
            <w:r>
              <w:rPr/>
              <w:t>(245,082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(516,821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(439,546</w:t>
            </w:r>
          </w:p>
        </w:tc>
        <w:tc>
          <w:tcPr>
            <w:tcW w:w="114" w:type="dxa"/>
            <w:tcBorders/>
            <w:shd w:fill="FFFFFF" w:val="clear"/>
            <w:vAlign w:val="center"/>
          </w:tcPr>
          <w:p>
            <w:pPr>
              <w:pStyle w:val="TableContents"/>
              <w:bidi w:val="0"/>
              <w:spacing w:before="0" w:after="283"/>
              <w:jc w:val="left"/>
              <w:rPr/>
            </w:pPr>
            <w:r>
              <w:rPr/>
              <w:t>)</w:t>
            </w:r>
            <w:bookmarkStart w:id="640" w:name="xdx_40E_ecustom--IncomeTaxReconciliation"/>
            <w:bookmarkEnd w:id="640"/>
          </w:p>
        </w:tc>
      </w:tr>
      <w:tr>
        <w:trPr/>
        <w:tc>
          <w:tcPr>
            <w:tcW w:w="1972" w:type="dxa"/>
            <w:tcBorders/>
            <w:shd w:fill="CCEEFF" w:val="clear"/>
            <w:vAlign w:val="center"/>
          </w:tcPr>
          <w:p>
            <w:pPr>
              <w:pStyle w:val="TableContents"/>
              <w:bidi w:val="0"/>
              <w:spacing w:before="0" w:after="283"/>
              <w:jc w:val="left"/>
              <w:rPr/>
            </w:pPr>
            <w:r>
              <w:rPr/>
              <w:t>Discount on FMV of shares issued</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pPr>
            <w:r>
              <w:rPr/>
              <w:t>65,943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pPr>
            <w:r>
              <w:rPr/>
              <w:t>39,790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244,869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50,287</w:t>
            </w:r>
          </w:p>
        </w:tc>
        <w:tc>
          <w:tcPr>
            <w:tcW w:w="114" w:type="dxa"/>
            <w:tcBorders/>
            <w:shd w:fill="CCEEFF" w:val="clear"/>
            <w:vAlign w:val="center"/>
          </w:tcPr>
          <w:p>
            <w:pPr>
              <w:pStyle w:val="TableContents"/>
              <w:bidi w:val="0"/>
              <w:spacing w:before="0" w:after="283"/>
              <w:jc w:val="left"/>
              <w:rPr/>
            </w:pPr>
            <w:r>
              <w:rPr/>
              <w:t> </w:t>
            </w:r>
            <w:bookmarkStart w:id="641" w:name="xdx_404_eus-gaap--IncomeTaxReconciliatio"/>
            <w:bookmarkEnd w:id="641"/>
          </w:p>
        </w:tc>
      </w:tr>
      <w:tr>
        <w:trPr/>
        <w:tc>
          <w:tcPr>
            <w:tcW w:w="1972" w:type="dxa"/>
            <w:tcBorders/>
            <w:shd w:fill="FFFFFF" w:val="clear"/>
            <w:vAlign w:val="center"/>
          </w:tcPr>
          <w:p>
            <w:pPr>
              <w:pStyle w:val="TableContents"/>
              <w:bidi w:val="0"/>
              <w:spacing w:before="0" w:after="283"/>
              <w:jc w:val="left"/>
              <w:rPr/>
            </w:pPr>
            <w:r>
              <w:rPr/>
              <w:t>Permanent differences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pPr>
            <w:r>
              <w:rPr/>
              <w:t>4,104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717" w:type="dxa"/>
            <w:tcBorders/>
            <w:shd w:fill="FFFFFF" w:val="clear"/>
            <w:vAlign w:val="center"/>
          </w:tcPr>
          <w:p>
            <w:pPr>
              <w:pStyle w:val="TableContents"/>
              <w:bidi w:val="0"/>
              <w:spacing w:before="0" w:after="283"/>
              <w:jc w:val="right"/>
              <w:rPr/>
            </w:pPr>
            <w:r>
              <w:rPr/>
              <w:t>3,346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10,641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right"/>
              <w:rPr/>
            </w:pPr>
            <w:r>
              <w:rPr/>
              <w:t>6,650</w:t>
            </w:r>
          </w:p>
        </w:tc>
        <w:tc>
          <w:tcPr>
            <w:tcW w:w="114" w:type="dxa"/>
            <w:tcBorders/>
            <w:shd w:fill="FFFFFF" w:val="clear"/>
            <w:vAlign w:val="center"/>
          </w:tcPr>
          <w:p>
            <w:pPr>
              <w:pStyle w:val="TableContents"/>
              <w:bidi w:val="0"/>
              <w:spacing w:before="0" w:after="283"/>
              <w:jc w:val="left"/>
              <w:rPr/>
            </w:pPr>
            <w:r>
              <w:rPr/>
              <w:t> </w:t>
            </w:r>
            <w:bookmarkStart w:id="642" w:name="xdx_40B_eus-gaap--IncomeTaxReconciliatio"/>
            <w:bookmarkEnd w:id="642"/>
          </w:p>
        </w:tc>
      </w:tr>
      <w:tr>
        <w:trPr/>
        <w:tc>
          <w:tcPr>
            <w:tcW w:w="1972"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pPr>
            <w:r>
              <w:rPr/>
              <w:t>1,361,199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717" w:type="dxa"/>
            <w:tcBorders/>
            <w:shd w:fill="CCEEFF" w:val="clear"/>
            <w:vAlign w:val="center"/>
          </w:tcPr>
          <w:p>
            <w:pPr>
              <w:pStyle w:val="TableContents"/>
              <w:bidi w:val="0"/>
              <w:spacing w:before="0" w:after="283"/>
              <w:jc w:val="right"/>
              <w:rPr/>
            </w:pPr>
            <w:r>
              <w:rPr/>
              <w:t>1,247,371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3,449,604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bidi w:val="0"/>
              <w:spacing w:before="0" w:after="283"/>
              <w:jc w:val="right"/>
              <w:rPr/>
            </w:pPr>
            <w:r>
              <w:rPr/>
              <w:t>2,237,364</w:t>
            </w:r>
          </w:p>
        </w:tc>
        <w:tc>
          <w:tcPr>
            <w:tcW w:w="114" w:type="dxa"/>
            <w:tcBorders/>
            <w:shd w:fill="CCEEFF" w:val="clear"/>
            <w:vAlign w:val="center"/>
          </w:tcPr>
          <w:p>
            <w:pPr>
              <w:pStyle w:val="TableContents"/>
              <w:bidi w:val="0"/>
              <w:spacing w:before="0" w:after="283"/>
              <w:jc w:val="left"/>
              <w:rPr/>
            </w:pPr>
            <w:r>
              <w:rPr/>
              <w:t> </w:t>
            </w:r>
            <w:bookmarkStart w:id="643" w:name="xdx_405_eus-gaap--IncomeTaxReconciliatio"/>
            <w:bookmarkEnd w:id="643"/>
          </w:p>
        </w:tc>
      </w:tr>
      <w:tr>
        <w:trPr/>
        <w:tc>
          <w:tcPr>
            <w:tcW w:w="1972"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7"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7" w:type="dxa"/>
            <w:tcBorders>
              <w:bottom w:val="single" w:sz="8" w:space="0" w:color="000000"/>
            </w:tcBorders>
            <w:shd w:fill="FFFFFF" w:val="clear"/>
            <w:tcMar>
              <w:bottom w:w="28" w:type="dxa"/>
            </w:tcMar>
            <w:vAlign w:val="center"/>
          </w:tcPr>
          <w:p>
            <w:pPr>
              <w:pStyle w:val="TableContents"/>
              <w:bidi w:val="0"/>
              <w:spacing w:before="0" w:after="283"/>
              <w:jc w:val="right"/>
              <w:rPr/>
            </w:pPr>
            <w:r>
              <w:rPr/>
              <w:t>(857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6" w:type="dxa"/>
            <w:tcBorders>
              <w:bottom w:val="single" w:sz="8" w:space="0" w:color="000000"/>
            </w:tcBorders>
            <w:shd w:fill="FFFFFF" w:val="clear"/>
            <w:tcMar>
              <w:bottom w:w="28" w:type="dxa"/>
            </w:tcMar>
            <w:vAlign w:val="center"/>
          </w:tcPr>
          <w:p>
            <w:pPr>
              <w:pStyle w:val="TableContents"/>
              <w:bidi w:val="0"/>
              <w:spacing w:before="0" w:after="283"/>
              <w:jc w:val="right"/>
              <w:rPr/>
            </w:pPr>
            <w:r>
              <w:rPr/>
              <w:t>(1,114</w:t>
            </w:r>
          </w:p>
        </w:tc>
        <w:tc>
          <w:tcPr>
            <w:tcW w:w="114" w:type="dxa"/>
            <w:tcBorders/>
            <w:shd w:fill="FFFFFF" w:val="clear"/>
            <w:vAlign w:val="center"/>
          </w:tcPr>
          <w:p>
            <w:pPr>
              <w:pStyle w:val="TableContents"/>
              <w:bidi w:val="0"/>
              <w:spacing w:before="0" w:after="283"/>
              <w:jc w:val="left"/>
              <w:rPr/>
            </w:pPr>
            <w:r>
              <w:rPr/>
              <w:t>)</w:t>
            </w:r>
            <w:bookmarkStart w:id="644" w:name="xdx_403_eus-gaap--IncomeTaxExpenseBenefi"/>
            <w:bookmarkEnd w:id="644"/>
          </w:p>
        </w:tc>
      </w:tr>
      <w:tr>
        <w:trPr/>
        <w:tc>
          <w:tcPr>
            <w:tcW w:w="1972" w:type="dxa"/>
            <w:tcBorders/>
            <w:shd w:fill="CCEEFF" w:val="clear"/>
            <w:vAlign w:val="center"/>
          </w:tcPr>
          <w:p>
            <w:pPr>
              <w:pStyle w:val="TableContents"/>
              <w:bidi w:val="0"/>
              <w:spacing w:before="0" w:after="283"/>
              <w:jc w:val="left"/>
              <w:rPr/>
            </w:pPr>
            <w:r>
              <w:rPr/>
              <w:t>Total income tax expense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3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5" w:name="xdx_8A7_zYrwiO9RjBXk"/>
      <w:bookmarkEnd w:id="6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need for, and amount of, a valuation allowance for deferred tax assets often requires significant judgment and extensive analysis of all available evidence on a jurisdiction-by-jurisdiction basis. Such judgments require the Company to interpret existing tax law and other published guidance as applied to its circumstances. As part of this assessment, the Company considers both positive and negative evidence about its profitability and tax situation. A valuation allowance is provided if, based on available evidence, it is more likely than not that all or some portion of a deferred tax asset will not be realized. The Company determined that it was more likely than not that it would not realize its deferred tax assets, based on historical levels of income and future forecasts of taxable income, among other items. The Company recorded a valuation allowance of its net deferred tax assets totaling $</w:t>
      </w:r>
      <w:bookmarkStart w:id="646" w:name="xdx_905_eus-gaap--DeferredTaxAssetsValua"/>
      <w:bookmarkEnd w:id="646"/>
      <w:r>
        <w:rPr>
          <w:rFonts w:ascii="Times New Roman;Times;Serif" w:hAnsi="Times New Roman;Times;Serif"/>
          <w:b w:val="false"/>
          <w:i w:val="false"/>
          <w:caps w:val="false"/>
          <w:smallCaps w:val="false"/>
          <w:sz w:val="20"/>
        </w:rPr>
        <w:t>25,667,954 as of June 30, 2026 and $</w:t>
      </w:r>
      <w:bookmarkStart w:id="647" w:name="xdx_907_eus-gaap--DeferredTaxAssetsValua"/>
      <w:bookmarkEnd w:id="647"/>
      <w:r>
        <w:rPr>
          <w:rFonts w:ascii="Times New Roman;Times;Serif" w:hAnsi="Times New Roman;Times;Serif"/>
          <w:b w:val="false"/>
          <w:i w:val="false"/>
          <w:caps w:val="false"/>
          <w:smallCaps w:val="false"/>
          <w:sz w:val="20"/>
        </w:rPr>
        <w:t>22,218,350 at December 31, 2025, the current year portion which was recorded as a component of income tax expense on the accompanying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and various state jurisdictions. The Companies are not subject to U.S. federal and state income tax examinations by tax authorities for years before 2021.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provisions of FASB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to evaluate uncertain tax positions. This topic prescribes a recognition threshold and measurement attribute for the financial statement recognition and measurement of a tax position taken or expected to be taken in a tax return. The Company has not identified any material uncertain tax positions requiring recognition in the consolidated financial statements as of June 30, 2026 or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reinstates expensing for domestic research and experimental expenditures, imposes new limitations on interest expense deductibility, and expands disallowed deductions for certain employee remuneration. FASB ASC 740 Income Taxes requires the effects of changes in tax rates and laws on deferred tax balances to be recognized in the period in which the relevant legislation is enacted. The OBBB may affect the Company’s gross tax assets and liabilities in future periods. The Company accounted for the tax effects of the legislation during the year ended December 31, 2025, and elected to deduct domestic research and development expenses in 2025 and 2026 rather than amortize over multiple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8" w:name="xdx_80D_eus-gaap--LesseeOperatingLeasesT"/>
      <w:bookmarkEnd w:id="648"/>
      <w:r>
        <w:rPr>
          <w:rFonts w:ascii="Times New Roman;Times;Serif" w:hAnsi="Times New Roman;Times;Serif"/>
          <w:b/>
          <w:i w:val="false"/>
          <w:caps w:val="false"/>
          <w:smallCaps w:val="false"/>
          <w:sz w:val="20"/>
        </w:rPr>
        <w:t xml:space="preserve">(13) </w:t>
      </w:r>
      <w:bookmarkStart w:id="649" w:name="xdx_826_zcxcwFwLXqJ"/>
      <w:bookmarkEnd w:id="649"/>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executed a lease agreement to renew the office space for its headquarters in Kansas City, Kansas. The lease has a 60-month term that commenced on June 1, 2025 with total rent of $</w:t>
      </w:r>
      <w:bookmarkStart w:id="650" w:name="xdx_900_eus-gaap--PaymentsForRent_c20250"/>
      <w:bookmarkEnd w:id="650"/>
      <w:r>
        <w:rPr>
          <w:rFonts w:ascii="Times New Roman;Times;Serif" w:hAnsi="Times New Roman;Times;Serif"/>
          <w:b w:val="false"/>
          <w:i w:val="false"/>
          <w:caps w:val="false"/>
          <w:smallCaps w:val="false"/>
          <w:sz w:val="20"/>
        </w:rPr>
        <w:t>33,145 per month over the lease term. The operating lease right-of-use asset was $</w:t>
      </w:r>
      <w:bookmarkStart w:id="651" w:name="xdx_908_eus-gaap--OperatingLeaseRightOfU"/>
      <w:bookmarkEnd w:id="651"/>
      <w:r>
        <w:rPr>
          <w:rFonts w:ascii="Times New Roman;Times;Serif" w:hAnsi="Times New Roman;Times;Serif"/>
          <w:b w:val="false"/>
          <w:i w:val="false"/>
          <w:caps w:val="false"/>
          <w:smallCaps w:val="false"/>
          <w:sz w:val="20"/>
        </w:rPr>
        <w:t>1,223,587, the current portion of the operating lease liability was $</w:t>
      </w:r>
      <w:bookmarkStart w:id="652" w:name="xdx_903_eus-gaap--OperatingLeaseLiabilit"/>
      <w:bookmarkEnd w:id="652"/>
      <w:r>
        <w:rPr>
          <w:rFonts w:ascii="Times New Roman;Times;Serif" w:hAnsi="Times New Roman;Times;Serif"/>
          <w:b w:val="false"/>
          <w:i w:val="false"/>
          <w:caps w:val="false"/>
          <w:smallCaps w:val="false"/>
          <w:sz w:val="20"/>
        </w:rPr>
        <w:t>255,132 and the long-term portion of the lease liability was $</w:t>
      </w:r>
      <w:bookmarkStart w:id="653" w:name="xdx_90E_eus-gaap--OperatingLeaseLiabilit"/>
      <w:bookmarkEnd w:id="653"/>
      <w:r>
        <w:rPr>
          <w:rFonts w:ascii="Times New Roman;Times;Serif" w:hAnsi="Times New Roman;Times;Serif"/>
          <w:b w:val="false"/>
          <w:i w:val="false"/>
          <w:caps w:val="false"/>
          <w:smallCaps w:val="false"/>
          <w:sz w:val="20"/>
        </w:rPr>
        <w:t>968,455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4" w:name="xdx_801_eus-gaap--EarningsPerShareTextBl"/>
      <w:bookmarkEnd w:id="654"/>
      <w:r>
        <w:rPr>
          <w:rFonts w:ascii="Times New Roman;Times;Serif" w:hAnsi="Times New Roman;Times;Serif"/>
          <w:b/>
          <w:i w:val="false"/>
          <w:caps w:val="false"/>
          <w:smallCaps w:val="false"/>
          <w:sz w:val="20"/>
        </w:rPr>
        <w:t xml:space="preserve">(14) </w:t>
      </w:r>
      <w:bookmarkStart w:id="655" w:name="xdx_82A_zFZAWkJ2wDc1"/>
      <w:bookmarkEnd w:id="655"/>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attributable to common shareholders by the weighted-average number of common shares and pre-funded warrants outstanding during the period. The following table set forth the computation of the basic and diluted net loss per share for the three and six months ended June 30, 2026 and 2025:</w:t>
      </w:r>
    </w:p>
    <w:p>
      <w:pPr>
        <w:pStyle w:val="TextBody"/>
        <w:bidi w:val="0"/>
        <w:spacing w:before="0" w:after="0"/>
        <w:ind w:left="0" w:right="0" w:hanging="0"/>
        <w:jc w:val="both"/>
        <w:rPr>
          <w:caps w:val="false"/>
          <w:smallCaps w:val="false"/>
        </w:rPr>
      </w:pPr>
      <w:bookmarkStart w:id="656" w:name="xdx_896_eus-gaap--ScheduleOfEarningsPerS"/>
      <w:bookmarkEnd w:id="656"/>
      <w:r>
        <w:rPr>
          <w:caps w:val="false"/>
          <w:smallCaps w:val="false"/>
        </w:rPr>
        <w:t> </w:t>
      </w:r>
      <w:bookmarkStart w:id="657" w:name="xdx_8BD_zx4CK4waDn9f"/>
      <w:bookmarkEnd w:id="657"/>
      <w:r>
        <w:rPr>
          <w:rFonts w:ascii="Times New Roman;Times;Serif" w:hAnsi="Times New Roman;Times;Serif"/>
          <w:b w:val="false"/>
          <w:i w:val="false"/>
          <w:caps w:val="false"/>
          <w:smallCaps w:val="false"/>
          <w:sz w:val="20"/>
        </w:rPr>
        <w:t>Schedule of Net Loss Per Share Basic and Diluted</w:t>
      </w:r>
    </w:p>
    <w:tbl>
      <w:tblPr>
        <w:tblW w:w="10205" w:type="dxa"/>
        <w:jc w:val="left"/>
        <w:tblInd w:w="0" w:type="dxa"/>
        <w:tblLayout w:type="fixed"/>
        <w:tblCellMar>
          <w:top w:w="0" w:type="dxa"/>
          <w:left w:w="0" w:type="dxa"/>
          <w:bottom w:w="0" w:type="dxa"/>
          <w:right w:w="0" w:type="dxa"/>
        </w:tblCellMar>
      </w:tblPr>
      <w:tblGrid>
        <w:gridCol w:w="2139"/>
        <w:gridCol w:w="60"/>
        <w:gridCol w:w="214"/>
        <w:gridCol w:w="1686"/>
        <w:gridCol w:w="95"/>
        <w:gridCol w:w="60"/>
        <w:gridCol w:w="218"/>
        <w:gridCol w:w="1649"/>
        <w:gridCol w:w="95"/>
        <w:gridCol w:w="60"/>
        <w:gridCol w:w="199"/>
        <w:gridCol w:w="1674"/>
        <w:gridCol w:w="95"/>
        <w:gridCol w:w="60"/>
        <w:gridCol w:w="209"/>
        <w:gridCol w:w="1577"/>
        <w:gridCol w:w="115"/>
      </w:tblGrid>
      <w:tr>
        <w:trPr/>
        <w:tc>
          <w:tcPr>
            <w:tcW w:w="2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8" w:name="xdx_49C_20260401__20260630_z9qU8acvI1Nc"/>
            <w:bookmarkEnd w:id="658"/>
          </w:p>
        </w:tc>
        <w:tc>
          <w:tcPr>
            <w:tcW w:w="1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9" w:name="xdx_49D_20250401__20250630_zztxJkzZUQLd"/>
            <w:bookmarkEnd w:id="659"/>
          </w:p>
        </w:tc>
        <w:tc>
          <w:tcPr>
            <w:tcW w:w="1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0" w:name="xdx_498_20260101__20260630_zoOTF80EALkb"/>
            <w:bookmarkEnd w:id="660"/>
          </w:p>
        </w:tc>
        <w:tc>
          <w:tcPr>
            <w:tcW w:w="18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1" w:name="xdx_494_20250101__20250630_zPxtXa7UlXj6"/>
            <w:bookmarkEnd w:id="661"/>
          </w:p>
        </w:tc>
        <w:tc>
          <w:tcPr>
            <w:tcW w:w="17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5" w:type="dxa"/>
            <w:tcBorders/>
            <w:vAlign w:val="center"/>
          </w:tcPr>
          <w:p>
            <w:pPr>
              <w:pStyle w:val="TableContents"/>
              <w:bidi w:val="0"/>
              <w:spacing w:before="0" w:after="283"/>
              <w:jc w:val="left"/>
              <w:rPr/>
            </w:pPr>
            <w:r>
              <w:rPr/>
              <w:t> </w:t>
            </w:r>
          </w:p>
        </w:tc>
      </w:tr>
      <w:tr>
        <w:trPr/>
        <w:tc>
          <w:tcPr>
            <w:tcW w:w="2139"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662" w:name="xdx_401_eus-gaap--NetIncomeLoss_zM8kZRNA"/>
            <w:bookmarkEnd w:id="662"/>
          </w:p>
        </w:tc>
      </w:tr>
      <w:tr>
        <w:trPr/>
        <w:tc>
          <w:tcPr>
            <w:tcW w:w="213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686" w:type="dxa"/>
            <w:tcBorders/>
            <w:shd w:fill="FFFFFF" w:val="clear"/>
            <w:vAlign w:val="center"/>
          </w:tcPr>
          <w:p>
            <w:pPr>
              <w:pStyle w:val="TableContents"/>
              <w:bidi w:val="0"/>
              <w:spacing w:before="0" w:after="283"/>
              <w:jc w:val="right"/>
              <w:rPr/>
            </w:pPr>
            <w:r>
              <w:rPr/>
              <w:t>(5,870,264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(4,983,261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1674" w:type="dxa"/>
            <w:tcBorders/>
            <w:shd w:fill="FFFFFF" w:val="clear"/>
            <w:vAlign w:val="center"/>
          </w:tcPr>
          <w:p>
            <w:pPr>
              <w:pStyle w:val="TableContents"/>
              <w:bidi w:val="0"/>
              <w:spacing w:before="0" w:after="283"/>
              <w:jc w:val="right"/>
              <w:rPr/>
            </w:pPr>
            <w:r>
              <w:rPr/>
              <w:t>(15,182,353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577" w:type="dxa"/>
            <w:tcBorders/>
            <w:shd w:fill="FFFFFF" w:val="clear"/>
            <w:vAlign w:val="center"/>
          </w:tcPr>
          <w:p>
            <w:pPr>
              <w:pStyle w:val="TableContents"/>
              <w:bidi w:val="0"/>
              <w:spacing w:before="0" w:after="283"/>
              <w:jc w:val="right"/>
              <w:rPr/>
            </w:pPr>
            <w:r>
              <w:rPr/>
              <w:t>(8,835,939</w:t>
            </w:r>
          </w:p>
        </w:tc>
        <w:tc>
          <w:tcPr>
            <w:tcW w:w="115" w:type="dxa"/>
            <w:tcBorders/>
            <w:shd w:fill="FFFFFF" w:val="clear"/>
            <w:vAlign w:val="center"/>
          </w:tcPr>
          <w:p>
            <w:pPr>
              <w:pStyle w:val="TableContents"/>
              <w:bidi w:val="0"/>
              <w:spacing w:before="0" w:after="283"/>
              <w:jc w:val="left"/>
              <w:rPr/>
            </w:pPr>
            <w:r>
              <w:rPr/>
              <w:t>)</w:t>
            </w:r>
            <w:bookmarkStart w:id="663" w:name="xdx_409_eus-gaap--PreferredStockDividend"/>
            <w:bookmarkEnd w:id="663"/>
          </w:p>
        </w:tc>
      </w:tr>
      <w:tr>
        <w:trPr/>
        <w:tc>
          <w:tcPr>
            <w:tcW w:w="2139" w:type="dxa"/>
            <w:tcBorders/>
            <w:shd w:fill="CCEEFF" w:val="clear"/>
            <w:vAlign w:val="center"/>
          </w:tcPr>
          <w:p>
            <w:pPr>
              <w:pStyle w:val="TableContents"/>
              <w:bidi w:val="0"/>
              <w:spacing w:before="0" w:after="283"/>
              <w:jc w:val="left"/>
              <w:rPr/>
            </w:pPr>
            <w:r>
              <w:rPr/>
              <w:t>Preferred share dividend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CCEEFF" w:val="clear"/>
            <w:tcMar>
              <w:bottom w:w="28" w:type="dxa"/>
            </w:tcMar>
            <w:vAlign w:val="center"/>
          </w:tcPr>
          <w:p>
            <w:pPr>
              <w:pStyle w:val="TableContents"/>
              <w:bidi w:val="0"/>
              <w:spacing w:before="0" w:after="283"/>
              <w:jc w:val="right"/>
              <w:rPr/>
            </w:pPr>
            <w:r>
              <w:rPr/>
              <w:t>(12,720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664" w:name="xdx_406_eus-gaap--NetIncomeLossAvailable"/>
            <w:bookmarkEnd w:id="664"/>
          </w:p>
        </w:tc>
      </w:tr>
      <w:tr>
        <w:trPr/>
        <w:tc>
          <w:tcPr>
            <w:tcW w:w="2139"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(5,870,264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(4,983,261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(15,195,073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77" w:type="dxa"/>
            <w:tcBorders/>
            <w:shd w:fill="FFFFFF" w:val="clear"/>
            <w:vAlign w:val="center"/>
          </w:tcPr>
          <w:p>
            <w:pPr>
              <w:pStyle w:val="TableContents"/>
              <w:bidi w:val="0"/>
              <w:spacing w:before="0" w:after="283"/>
              <w:jc w:val="right"/>
              <w:rPr/>
            </w:pPr>
            <w:r>
              <w:rPr/>
              <w:t>(8,835,939</w:t>
            </w:r>
          </w:p>
        </w:tc>
        <w:tc>
          <w:tcPr>
            <w:tcW w:w="115" w:type="dxa"/>
            <w:tcBorders/>
            <w:shd w:fill="FFFFFF" w:val="clear"/>
            <w:vAlign w:val="center"/>
          </w:tcPr>
          <w:p>
            <w:pPr>
              <w:pStyle w:val="TableContents"/>
              <w:bidi w:val="0"/>
              <w:spacing w:before="0" w:after="283"/>
              <w:jc w:val="left"/>
              <w:rPr/>
            </w:pPr>
            <w:r>
              <w:rPr/>
              <w:t>)</w:t>
            </w:r>
          </w:p>
        </w:tc>
      </w:tr>
      <w:tr>
        <w:trPr/>
        <w:tc>
          <w:tcPr>
            <w:tcW w:w="2139"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139"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65" w:name="xdx_901_eus-gaap--WeightedAverageNumberO"/>
            <w:bookmarkStart w:id="666" w:name="xdx_903_eus-gaap--WeightedAverageNumberO"/>
            <w:bookmarkEnd w:id="665"/>
            <w:bookmarkEnd w:id="666"/>
            <w:r>
              <w:rPr/>
              <w:t>13,186,057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67" w:name="xdx_908_eus-gaap--WeightedAverageNumberO"/>
            <w:bookmarkStart w:id="668" w:name="xdx_906_eus-gaap--WeightedAverageNumberO"/>
            <w:bookmarkEnd w:id="667"/>
            <w:bookmarkEnd w:id="668"/>
            <w:r>
              <w:rPr/>
              <w:t>4,389,465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69" w:name="xdx_905_eus-gaap--WeightedAverageNumberO"/>
            <w:bookmarkStart w:id="670" w:name="xdx_90C_eus-gaap--WeightedAverageNumberO"/>
            <w:bookmarkEnd w:id="669"/>
            <w:bookmarkEnd w:id="670"/>
            <w:r>
              <w:rPr/>
              <w:t>11,477,983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71" w:name="xdx_90F_eus-gaap--WeightedAverageNumberO"/>
            <w:bookmarkStart w:id="672" w:name="xdx_900_eus-gaap--WeightedAverageNumberO"/>
            <w:bookmarkEnd w:id="671"/>
            <w:bookmarkEnd w:id="672"/>
            <w:r>
              <w:rPr/>
              <w:t>4,020,231</w:t>
            </w:r>
          </w:p>
        </w:tc>
        <w:tc>
          <w:tcPr>
            <w:tcW w:w="115" w:type="dxa"/>
            <w:tcBorders/>
            <w:shd w:fill="FFFFFF" w:val="clear"/>
            <w:vAlign w:val="center"/>
          </w:tcPr>
          <w:p>
            <w:pPr>
              <w:pStyle w:val="TableContents"/>
              <w:bidi w:val="0"/>
              <w:spacing w:before="0" w:after="283"/>
              <w:jc w:val="left"/>
              <w:rPr/>
            </w:pPr>
            <w:r>
              <w:rPr/>
              <w:t> </w:t>
            </w:r>
          </w:p>
        </w:tc>
      </w:tr>
      <w:tr>
        <w:trPr/>
        <w:tc>
          <w:tcPr>
            <w:tcW w:w="2139" w:type="dxa"/>
            <w:tcBorders/>
            <w:shd w:fill="CCEEFF" w:val="clear"/>
            <w:vAlign w:val="center"/>
          </w:tcPr>
          <w:p>
            <w:pPr>
              <w:pStyle w:val="TableContents"/>
              <w:bidi w:val="0"/>
              <w:spacing w:before="0" w:after="283"/>
              <w:jc w:val="left"/>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3" w:name="xdx_90B_eus-gaap--EarningsPerShareDilute"/>
            <w:bookmarkStart w:id="674" w:name="xdx_90F_eus-gaap--EarningsPerShareBasic_"/>
            <w:bookmarkEnd w:id="673"/>
            <w:bookmarkEnd w:id="674"/>
            <w:r>
              <w:rPr/>
              <w:t>(0.45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5" w:name="xdx_906_eus-gaap--EarningsPerShareDilute"/>
            <w:bookmarkStart w:id="676" w:name="xdx_90C_eus-gaap--EarningsPerShareBasic_"/>
            <w:bookmarkEnd w:id="675"/>
            <w:bookmarkEnd w:id="676"/>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7" w:name="xdx_90D_eus-gaap--EarningsPerShareDilute"/>
            <w:bookmarkStart w:id="678" w:name="xdx_907_eus-gaap--EarningsPerShareBasic_"/>
            <w:bookmarkEnd w:id="677"/>
            <w:bookmarkEnd w:id="678"/>
            <w:r>
              <w:rPr/>
              <w:t>(1.32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7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79" w:name="xdx_908_eus-gaap--EarningsPerShareDilute"/>
            <w:bookmarkStart w:id="680" w:name="xdx_905_eus-gaap--EarningsPerShareBasic_"/>
            <w:bookmarkEnd w:id="679"/>
            <w:bookmarkEnd w:id="680"/>
            <w:r>
              <w:rPr/>
              <w:t>(2.20</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81" w:name="xdx_8A3_zSVeJyMJ2Bzg"/>
      <w:bookmarkEnd w:id="68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2" w:name="xdx_89F_eus-gaap--ScheduleOfAntidilutive"/>
      <w:bookmarkEnd w:id="682"/>
      <w:r>
        <w:rPr>
          <w:rFonts w:ascii="Times New Roman;Times;Serif" w:hAnsi="Times New Roman;Times;Serif"/>
          <w:b w:val="false"/>
          <w:i w:val="false"/>
          <w:caps w:val="false"/>
          <w:smallCaps w:val="false"/>
          <w:sz w:val="20"/>
        </w:rPr>
        <w:t>Potentially dilutive securities that were not included in the diluted per share calculations because they would be anti-dilutive were as follows for the periods ended June 30, 2026 and 2025:</w:t>
      </w:r>
    </w:p>
    <w:p>
      <w:pPr>
        <w:pStyle w:val="TextBody"/>
        <w:bidi w:val="0"/>
        <w:spacing w:before="0" w:after="0"/>
        <w:ind w:left="0" w:right="0" w:hanging="0"/>
        <w:jc w:val="both"/>
        <w:rPr>
          <w:caps w:val="false"/>
          <w:smallCaps w:val="false"/>
        </w:rPr>
      </w:pPr>
      <w:r>
        <w:rPr>
          <w:caps w:val="false"/>
          <w:smallCaps w:val="false"/>
        </w:rPr>
        <w:t> </w:t>
      </w:r>
      <w:bookmarkStart w:id="683" w:name="xdx_8B8_zGHlQJmArTJd"/>
      <w:bookmarkEnd w:id="683"/>
      <w:r>
        <w:rPr>
          <w:rFonts w:ascii="Times New Roman;Times;Serif" w:hAnsi="Times New Roman;Times;Serif"/>
          <w:b w:val="false"/>
          <w:i w:val="false"/>
          <w:caps w:val="false"/>
          <w:smallCaps w:val="false"/>
          <w:sz w:val="20"/>
        </w:rPr>
        <w:t>Schedule of Antidilutive Securities Excluded from Computation of Earnings Per Share</w:t>
      </w:r>
    </w:p>
    <w:tbl>
      <w:tblPr>
        <w:tblW w:w="7483" w:type="dxa"/>
        <w:jc w:val="left"/>
        <w:tblInd w:w="0" w:type="dxa"/>
        <w:tblLayout w:type="fixed"/>
        <w:tblCellMar>
          <w:top w:w="0" w:type="dxa"/>
          <w:left w:w="0" w:type="dxa"/>
          <w:bottom w:w="0" w:type="dxa"/>
          <w:right w:w="0" w:type="dxa"/>
        </w:tblCellMar>
      </w:tblPr>
      <w:tblGrid>
        <w:gridCol w:w="4400"/>
        <w:gridCol w:w="60"/>
        <w:gridCol w:w="81"/>
        <w:gridCol w:w="1333"/>
        <w:gridCol w:w="60"/>
        <w:gridCol w:w="60"/>
        <w:gridCol w:w="81"/>
        <w:gridCol w:w="1333"/>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4" w:name="xdx_494_20260101__20260630_zii6lCiZGVXe"/>
            <w:bookmarkEnd w:id="684"/>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5" w:name="xdx_49F_20250101__20250630_zS0NpZzHO1Pb"/>
            <w:bookmarkEnd w:id="685"/>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bookmarkStart w:id="686" w:name="xdx_40E_eus-gaap--AntidilutiveSecurities"/>
            <w:bookmarkEnd w:id="686"/>
          </w:p>
        </w:tc>
      </w:tr>
      <w:tr>
        <w:trPr/>
        <w:tc>
          <w:tcPr>
            <w:tcW w:w="4400" w:type="dxa"/>
            <w:tcBorders/>
            <w:shd w:fill="CCEEFF" w:val="clear"/>
            <w:vAlign w:val="center"/>
          </w:tcPr>
          <w:p>
            <w:pPr>
              <w:pStyle w:val="TableContents"/>
              <w:bidi w:val="0"/>
              <w:spacing w:before="0" w:after="283"/>
              <w:jc w:val="left"/>
              <w:rPr/>
            </w:pPr>
            <w:r>
              <w:rPr/>
              <w:t>Stock options issued and outstanding</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1,163,303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398,839</w:t>
            </w:r>
          </w:p>
        </w:tc>
        <w:tc>
          <w:tcPr>
            <w:tcW w:w="75" w:type="dxa"/>
            <w:tcBorders/>
            <w:shd w:fill="CCEEFF" w:val="clear"/>
            <w:vAlign w:val="center"/>
          </w:tcPr>
          <w:p>
            <w:pPr>
              <w:pStyle w:val="TableContents"/>
              <w:bidi w:val="0"/>
              <w:spacing w:before="0" w:after="283"/>
              <w:jc w:val="left"/>
              <w:rPr/>
            </w:pPr>
            <w:r>
              <w:rPr/>
              <w:t> </w:t>
            </w:r>
            <w:bookmarkStart w:id="687" w:name="xdx_402_eus-gaap--AntidilutiveSecurities"/>
            <w:bookmarkEnd w:id="687"/>
          </w:p>
        </w:tc>
      </w:tr>
      <w:tr>
        <w:trPr/>
        <w:tc>
          <w:tcPr>
            <w:tcW w:w="4400" w:type="dxa"/>
            <w:tcBorders/>
            <w:shd w:fill="FFFFFF" w:val="clear"/>
            <w:vAlign w:val="center"/>
          </w:tcPr>
          <w:p>
            <w:pPr>
              <w:pStyle w:val="TableContents"/>
              <w:bidi w:val="0"/>
              <w:spacing w:before="0" w:after="283"/>
              <w:jc w:val="left"/>
              <w:rPr/>
            </w:pPr>
            <w:r>
              <w:rPr/>
              <w:t>Common stock purchase warrants outstanding</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2,620,963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833,684</w:t>
            </w:r>
          </w:p>
        </w:tc>
        <w:tc>
          <w:tcPr>
            <w:tcW w:w="75" w:type="dxa"/>
            <w:tcBorders/>
            <w:shd w:fill="FFFFFF" w:val="clear"/>
            <w:vAlign w:val="center"/>
          </w:tcPr>
          <w:p>
            <w:pPr>
              <w:pStyle w:val="TableContents"/>
              <w:bidi w:val="0"/>
              <w:spacing w:before="0" w:after="283"/>
              <w:jc w:val="left"/>
              <w:rPr/>
            </w:pPr>
            <w:r>
              <w:rPr/>
              <w:t> </w:t>
            </w:r>
            <w:bookmarkStart w:id="688" w:name="xdx_40E_eus-gaap--AntidilutiveSecurities"/>
            <w:bookmarkEnd w:id="688"/>
          </w:p>
        </w:tc>
      </w:tr>
      <w:tr>
        <w:trPr/>
        <w:tc>
          <w:tcPr>
            <w:tcW w:w="44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pPr>
            <w:r>
              <w:rPr/>
              <w:t>3,784,266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pPr>
            <w:r>
              <w:rPr/>
              <w:t>1,232,523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9" w:name="xdx_8A1_zNmN0u0G1lQ5"/>
      <w:bookmarkEnd w:id="68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0" w:name="xdx_804_eus-gaap--RelatedPartyTransactio"/>
      <w:bookmarkEnd w:id="690"/>
      <w:r>
        <w:rPr>
          <w:rFonts w:ascii="Times New Roman;Times;Serif" w:hAnsi="Times New Roman;Times;Serif"/>
          <w:b/>
          <w:i w:val="false"/>
          <w:caps w:val="false"/>
          <w:smallCaps w:val="false"/>
          <w:sz w:val="20"/>
        </w:rPr>
        <w:t xml:space="preserve">(15) </w:t>
      </w:r>
      <w:bookmarkStart w:id="691" w:name="xdx_820_zRbZBAUOGPI4"/>
      <w:bookmarkEnd w:id="69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officers, directors and other affiliates participated, directly or indirectly, in the Private Placement that closed on February 6, 2026 and purchased the number of shares of our common stock and warrant shares set forth after their name: Shane J. Schaffer (</w:t>
      </w:r>
      <w:bookmarkStart w:id="692" w:name="xdx_907_eus-gaap--SharesIssued_iI_c20260"/>
      <w:bookmarkEnd w:id="692"/>
      <w:r>
        <w:rPr>
          <w:rFonts w:ascii="Times New Roman;Times;Serif" w:hAnsi="Times New Roman;Times;Serif"/>
          <w:b w:val="false"/>
          <w:i w:val="false"/>
          <w:caps w:val="false"/>
          <w:smallCaps w:val="false"/>
          <w:sz w:val="20"/>
        </w:rPr>
        <w:t xml:space="preserve">6,809 common shares and </w:t>
      </w:r>
      <w:bookmarkStart w:id="693" w:name="xdx_90A_ecustom--ClassOfWarrantOrRightis"/>
      <w:bookmarkEnd w:id="693"/>
      <w:r>
        <w:rPr>
          <w:rFonts w:ascii="Times New Roman;Times;Serif" w:hAnsi="Times New Roman;Times;Serif"/>
          <w:b w:val="false"/>
          <w:i w:val="false"/>
          <w:caps w:val="false"/>
          <w:smallCaps w:val="false"/>
          <w:sz w:val="20"/>
        </w:rPr>
        <w:t>5,447 Warrant Shares); Jennifer L. Callahan (</w:t>
      </w:r>
      <w:bookmarkStart w:id="694" w:name="xdx_90E_eus-gaap--SharesIssued_iI_c20260"/>
      <w:bookmarkEnd w:id="694"/>
      <w:r>
        <w:rPr>
          <w:rFonts w:ascii="Times New Roman;Times;Serif" w:hAnsi="Times New Roman;Times;Serif"/>
          <w:b w:val="false"/>
          <w:i w:val="false"/>
          <w:caps w:val="false"/>
          <w:smallCaps w:val="false"/>
          <w:sz w:val="20"/>
        </w:rPr>
        <w:t xml:space="preserve">4,864 common shares and </w:t>
      </w:r>
      <w:bookmarkStart w:id="695" w:name="xdx_908_ecustom--ClassOfWarrantOrRightis"/>
      <w:bookmarkEnd w:id="695"/>
      <w:r>
        <w:rPr>
          <w:rFonts w:ascii="Times New Roman;Times;Serif" w:hAnsi="Times New Roman;Times;Serif"/>
          <w:b w:val="false"/>
          <w:i w:val="false"/>
          <w:caps w:val="false"/>
          <w:smallCaps w:val="false"/>
          <w:sz w:val="20"/>
        </w:rPr>
        <w:t>3,891 Warrant Shares); Matthew N. Brams (</w:t>
      </w:r>
      <w:bookmarkStart w:id="696" w:name="xdx_90D_eus-gaap--SharesIssued_iI_c20260"/>
      <w:bookmarkEnd w:id="696"/>
      <w:r>
        <w:rPr>
          <w:rFonts w:ascii="Times New Roman;Times;Serif" w:hAnsi="Times New Roman;Times;Serif"/>
          <w:b w:val="false"/>
          <w:i w:val="false"/>
          <w:caps w:val="false"/>
          <w:smallCaps w:val="false"/>
          <w:sz w:val="20"/>
        </w:rPr>
        <w:t xml:space="preserve">1,946 common shares and </w:t>
      </w:r>
      <w:bookmarkStart w:id="697" w:name="xdx_904_ecustom--ClassOfWarrantOrRightis"/>
      <w:bookmarkEnd w:id="697"/>
      <w:r>
        <w:rPr>
          <w:rFonts w:ascii="Times New Roman;Times;Serif" w:hAnsi="Times New Roman;Times;Serif"/>
          <w:b w:val="false"/>
          <w:i w:val="false"/>
          <w:caps w:val="false"/>
          <w:smallCaps w:val="false"/>
          <w:sz w:val="20"/>
        </w:rPr>
        <w:t>1,556 Warrant Shares; Peter J. Werth (</w:t>
      </w:r>
      <w:bookmarkStart w:id="698" w:name="xdx_906_eus-gaap--SharesIssued_iI_c20260"/>
      <w:bookmarkEnd w:id="698"/>
      <w:r>
        <w:rPr>
          <w:rFonts w:ascii="Times New Roman;Times;Serif" w:hAnsi="Times New Roman;Times;Serif"/>
          <w:b w:val="false"/>
          <w:i w:val="false"/>
          <w:caps w:val="false"/>
          <w:smallCaps w:val="false"/>
          <w:sz w:val="20"/>
        </w:rPr>
        <w:t xml:space="preserve">19,455 common shares and </w:t>
      </w:r>
      <w:bookmarkStart w:id="699" w:name="xdx_90F_ecustom--ClassOfWarrantOrRightis"/>
      <w:bookmarkEnd w:id="699"/>
      <w:r>
        <w:rPr>
          <w:rFonts w:ascii="Times New Roman;Times;Serif" w:hAnsi="Times New Roman;Times;Serif"/>
          <w:b w:val="false"/>
          <w:i w:val="false"/>
          <w:caps w:val="false"/>
          <w:smallCaps w:val="false"/>
          <w:sz w:val="20"/>
        </w:rPr>
        <w:t>15,564 Warrant Shares); and Larry Schaffer, the father of Shane Schaffer (</w:t>
      </w:r>
      <w:bookmarkStart w:id="700" w:name="xdx_906_eus-gaap--SharesIssued_iI_c20260"/>
      <w:bookmarkEnd w:id="700"/>
      <w:r>
        <w:rPr>
          <w:rFonts w:ascii="Times New Roman;Times;Serif" w:hAnsi="Times New Roman;Times;Serif"/>
          <w:b w:val="false"/>
          <w:i w:val="false"/>
          <w:caps w:val="false"/>
          <w:smallCaps w:val="false"/>
          <w:sz w:val="20"/>
        </w:rPr>
        <w:t xml:space="preserve">58,366 common shares and </w:t>
      </w:r>
      <w:bookmarkStart w:id="701" w:name="xdx_90D_ecustom--ClassOfWarrantOrRightis"/>
      <w:bookmarkEnd w:id="701"/>
      <w:r>
        <w:rPr>
          <w:rFonts w:ascii="Times New Roman;Times;Serif" w:hAnsi="Times New Roman;Times;Serif"/>
          <w:b w:val="false"/>
          <w:i w:val="false"/>
          <w:caps w:val="false"/>
          <w:smallCaps w:val="false"/>
          <w:sz w:val="20"/>
        </w:rPr>
        <w:t>46,693 Warrant Shares). The total of all common stock and warrant shares was $</w:t>
      </w:r>
      <w:bookmarkStart w:id="702" w:name="xdx_90D_ecustom--ProceedsFromIssuanceFro"/>
      <w:bookmarkEnd w:id="702"/>
      <w:r>
        <w:rPr>
          <w:rFonts w:ascii="Times New Roman;Times;Serif" w:hAnsi="Times New Roman;Times;Serif"/>
          <w:b w:val="false"/>
          <w:i w:val="false"/>
          <w:caps w:val="false"/>
          <w:smallCaps w:val="false"/>
          <w:sz w:val="20"/>
        </w:rPr>
        <w:t>470,000 and is included in proceeds from the issuance of common stock and common stock purchase warrants, net of fees on the consolidated statement of cash flows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3" w:name="xdx_80A_eus-gaap--SubsequentEventsTextBl"/>
      <w:bookmarkEnd w:id="703"/>
      <w:r>
        <w:rPr>
          <w:rFonts w:ascii="Times New Roman;Times;Serif" w:hAnsi="Times New Roman;Times;Serif"/>
          <w:b/>
          <w:i w:val="false"/>
          <w:caps w:val="false"/>
          <w:smallCaps w:val="false"/>
          <w:sz w:val="20"/>
        </w:rPr>
        <w:t xml:space="preserve">(16) </w:t>
      </w:r>
      <w:bookmarkStart w:id="704" w:name="xdx_82D_z8PHkjEC1Si9"/>
      <w:bookmarkEnd w:id="704"/>
      <w:r>
        <w:rPr>
          <w:rFonts w:ascii="Times New Roman;Times;Serif" w:hAnsi="Times New Roman;Times;Serif"/>
          <w:b/>
          <w:i w:val="false"/>
          <w:caps w:val="false"/>
          <w:smallCaps w:val="false"/>
          <w:sz w:val="20"/>
        </w:rPr>
        <w:t>Subsequent Events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events that occurred subsequent to June 30, 2026, through August 13, 2026, which is the date the interim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9, 2026, the Company’s stockholders approved an amendment to the EIP, increasing the number of shares of common stock authorized for issuance under the EIP by </w:t>
      </w:r>
      <w:bookmarkStart w:id="705" w:name="xdx_902_eus-gaap--ShareBasedCompensation"/>
      <w:bookmarkEnd w:id="705"/>
      <w:r>
        <w:rPr>
          <w:rFonts w:ascii="Times New Roman;Times;Serif" w:hAnsi="Times New Roman;Times;Serif"/>
          <w:b w:val="false"/>
          <w:i w:val="false"/>
          <w:caps w:val="false"/>
          <w:smallCaps w:val="false"/>
          <w:sz w:val="20"/>
        </w:rPr>
        <w:t>625,000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entered into several exchange agreements with Avondale to exchange a total of $</w:t>
      </w:r>
      <w:bookmarkStart w:id="706" w:name="xdx_90C_eus-gaap--DebtConversionConverte"/>
      <w:bookmarkEnd w:id="706"/>
      <w:r>
        <w:rPr>
          <w:rFonts w:ascii="Times New Roman;Times;Serif" w:hAnsi="Times New Roman;Times;Serif"/>
          <w:b w:val="false"/>
          <w:i w:val="false"/>
          <w:caps w:val="false"/>
          <w:smallCaps w:val="false"/>
          <w:sz w:val="20"/>
        </w:rPr>
        <w:t xml:space="preserve">1,320,000 in principal for </w:t>
      </w:r>
      <w:bookmarkStart w:id="707" w:name="xdx_902_eus-gaap--DebtConversionConverte"/>
      <w:bookmarkEnd w:id="707"/>
      <w:r>
        <w:rPr>
          <w:rFonts w:ascii="Times New Roman;Times;Serif" w:hAnsi="Times New Roman;Times;Serif"/>
          <w:b w:val="false"/>
          <w:i w:val="false"/>
          <w:caps w:val="false"/>
          <w:smallCaps w:val="false"/>
          <w:sz w:val="20"/>
        </w:rPr>
        <w:t>139,751 shares of common stock and cash payments of $</w:t>
      </w:r>
      <w:bookmarkStart w:id="708" w:name="xdx_906_eus-gaap--GainsLossesOnExtinguis"/>
      <w:bookmarkEnd w:id="708"/>
      <w:r>
        <w:rPr>
          <w:rFonts w:ascii="Times New Roman;Times;Serif" w:hAnsi="Times New Roman;Times;Serif"/>
          <w:b w:val="false"/>
          <w:i w:val="false"/>
          <w:caps w:val="false"/>
          <w:smallCaps w:val="false"/>
          <w:sz w:val="20"/>
        </w:rPr>
        <w:t>600,000, thereby extinguishing that portion of the 2025 Note. See Note 7 for additional information regarding the 2025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the Company sold </w:t>
      </w:r>
      <w:bookmarkStart w:id="709" w:name="xdx_906_eus-gaap--SaleOfStockNumberOfSha"/>
      <w:bookmarkEnd w:id="709"/>
      <w:r>
        <w:rPr>
          <w:rFonts w:ascii="Times New Roman;Times;Serif" w:hAnsi="Times New Roman;Times;Serif"/>
          <w:b w:val="false"/>
          <w:i w:val="false"/>
          <w:caps w:val="false"/>
          <w:smallCaps w:val="false"/>
          <w:sz w:val="20"/>
        </w:rPr>
        <w:t>220,476 shares of common stock under the 2025 LP Purchase Agreement, for net proceeds of $</w:t>
      </w:r>
      <w:bookmarkStart w:id="710" w:name="xdx_901_eus-gaap--SaleOfStockConsiderati"/>
      <w:bookmarkEnd w:id="710"/>
      <w:r>
        <w:rPr>
          <w:rFonts w:ascii="Times New Roman;Times;Serif" w:hAnsi="Times New Roman;Times;Serif"/>
          <w:b w:val="false"/>
          <w:i w:val="false"/>
          <w:caps w:val="false"/>
          <w:smallCaps w:val="false"/>
          <w:sz w:val="20"/>
        </w:rPr>
        <w:t>1,068,525.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the Company sold </w:t>
      </w:r>
      <w:bookmarkStart w:id="711" w:name="xdx_900_eus-gaap--SaleOfStockNumberOfSha"/>
      <w:bookmarkEnd w:id="711"/>
      <w:r>
        <w:rPr>
          <w:rFonts w:ascii="Times New Roman;Times;Serif" w:hAnsi="Times New Roman;Times;Serif"/>
          <w:b w:val="false"/>
          <w:i w:val="false"/>
          <w:caps w:val="false"/>
          <w:smallCaps w:val="false"/>
          <w:sz w:val="20"/>
        </w:rPr>
        <w:t>271,717 shares of common stock under the 2026 ATM Agreement, for net proceeds of $</w:t>
      </w:r>
      <w:bookmarkStart w:id="712" w:name="xdx_909_eus-gaap--SaleOfStockConsiderati"/>
      <w:bookmarkEnd w:id="712"/>
      <w:r>
        <w:rPr>
          <w:rFonts w:ascii="Times New Roman;Times;Serif" w:hAnsi="Times New Roman;Times;Serif"/>
          <w:b w:val="false"/>
          <w:i w:val="false"/>
          <w:caps w:val="false"/>
          <w:smallCaps w:val="false"/>
          <w:sz w:val="20"/>
        </w:rPr>
        <w:t>1,394,179.</w:t>
      </w:r>
    </w:p>
    <w:p>
      <w:pPr>
        <w:pStyle w:val="TextBody"/>
        <w:bidi w:val="0"/>
        <w:spacing w:before="0" w:after="0"/>
        <w:ind w:left="0" w:right="0" w:hanging="0"/>
        <w:jc w:val="both"/>
        <w:rPr>
          <w:caps w:val="false"/>
          <w:smallCaps w:val="false"/>
        </w:rPr>
      </w:pPr>
      <w:bookmarkStart w:id="713" w:name="xdx_81B_zLH67jYqnzSe"/>
      <w:bookmarkEnd w:id="71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4" w:name="sh_001"/>
      <w:bookmarkEnd w:id="71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consolidated financial statements and related notes included elsewhere in this report. Some of the information contained in this discussion and analysis or set forth elsewhere in this report, including information with respect to our plans and strategy for our business, includes forward-looking statements that involve risks and uncertainties. You should review the “Risk Factors” section of our Form 10-K and in this report, as well as disclosures in this report and our other reports filed with the SEC,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using our proprietary Precision Timed Release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(PTR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Attention Deficit/Hyperactivity Disorder (ADHD) with an estimated US market size of approximately 100 million prescriptions of stimulants as of September 2025, and anxiety, we are identifying and evaluating additional therapeutic areas where our PTR technology may be employed to develop future product candidates. Our PTR platform incorporates a proprietary Erosion Barrier Layer designed to allow for the release of drug substance at specific, pre-defined time intervals, unlocking the potential for once-daily, multi-dose tablets. We believe there remains a significant, unmet need within the current treatment paradigm for true once-daily ADHD stimulant medications with lasting duration and a superior side effect profile to better serve the needs of patients throughout their entire active-day.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in 2012, our operations have focused on developing our product candidates, primarily CTx-1301, organizing and staffing our company, business planning, raising capital, establishing our intellectual property portfolio and conducting clinical trials. We do not have any product candidates approved for sale and have not generated any revenue. We have funded our operations through public and private capital raised. Cumulative capital raised from these sources, including debt financing, was approximately $160.4 million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our inception. Our net losses were $5.9 million and $5.0 million for the three months ended June 30, 2026 and 2025, respectively. See “Results of Operations” below for an explanation of the fluctuations in our net losses. As of June 30, 2026, we had an accumulated deficit of $147.6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operating losses in the near term, as we:</w:t>
      </w:r>
    </w:p>
    <w:p>
      <w:pPr>
        <w:pStyle w:val="TextBody"/>
        <w:bidi w:val="0"/>
        <w:spacing w:before="0" w:after="0"/>
        <w:ind w:left="0" w:right="0" w:hanging="0"/>
        <w:jc w:val="both"/>
        <w:rPr>
          <w:caps w:val="false"/>
          <w:smallCaps w:val="false"/>
        </w:rPr>
      </w:pPr>
      <w:r>
        <w:rPr>
          <w:caps w:val="false"/>
          <w:smallCaps w:val="false"/>
        </w:rPr>
        <w:t> </w:t>
      </w:r>
    </w:p>
    <w:tbl>
      <w:tblPr>
        <w:tblW w:w="9655" w:type="dxa"/>
        <w:jc w:val="left"/>
        <w:tblInd w:w="0" w:type="dxa"/>
        <w:shd w:fill="FFFFFF" w:val="clear"/>
        <w:tblLayout w:type="fixed"/>
        <w:tblCellMar>
          <w:top w:w="0" w:type="dxa"/>
          <w:left w:w="0" w:type="dxa"/>
          <w:bottom w:w="0" w:type="dxa"/>
          <w:right w:w="0" w:type="dxa"/>
        </w:tblCellMar>
      </w:tblPr>
      <w:tblGrid>
        <w:gridCol w:w="75"/>
        <w:gridCol w:w="170"/>
        <w:gridCol w:w="941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the CMC work necessary to support resubmission of the NDA for CTx-1301 and seek regulatory approval;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research and development activities for our existing and new product candidates;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manufacturing activities, primarily the manufacture of process validation batches relating to CTx-1301;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commercialization efforts for CTx-1301;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operate as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$28.4 million, which we believe will be sufficient to fund our operations into mid 2027, including costs associated with completing the requested CMC work and seeking regulatory approval for CTx-1301 and the build-out of internal and external support for the commercial launch of CTx-1301, if approved. We will need additional capital to advance other potential development programs.  See “Liquidity and Capital Resources”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will depend on the successful development, regulatory approval and eventual commercialization of one or more of our product candidates. Until such time as we can generate significant revenue from product sales,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Manufacturing, Regulatory and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CTx-1301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our clinical program for CTx-1301 (dexmethylphenidate), our lead, investigational product candidate for the treatment of ADHD, based on U.S. Food and Drug Administration (FDA) feedback regarding our CTx-1301 clinical plan, and longstanding guidance on the streamlined approval pathway under Section 505(b)(2) of the Federal Food, Drug, and Cosmetic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meet the pharmacology requirement for the CTx-1301 NDA submission, we completed a food effect study in October 2022 (25mg dose) and December 2024 (50mg dose). Each study demonstrated that CTx-1301 can be taken with or without food.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two CTx-1301 Phase 3 clinical studies in pediatric and adolescent patients- a fixed dose study and a dose-optimized onset and duration study in a laboratory classroom setting in the third quarter of 2023. Based upon written communication with the FDA that further conduct of these pediatric and adolescent studies is not required for the submission of an NDA, we closed enrollment on both Phase 3 trials. Analysis of the safety data from the two closed Phase 3 trials and the 50mg dose food effect study revealed that no subjects experienced a serious treatment emergent adverse event (TEAE), a serious TEAE or a TEAE leading to death and there were no clinically relevant trends in TEAEs overall. A final analysis that combines both adult and pediatric safety and efficacy data was included in the NDA submission for CTx-1301 which was submitted to the FDA on July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announced that the FDA accepted for review our NDA for CTx-1301 and assigned a Prescription Drug User Fee Act (PDUFA) targeted action date of May 31, 2026. On June 1, 2026, we received a Complete Response Letter (CRL) from the FDA regarding the NDA for CTx-1301. The CRL identified specific requests for additional CMC information and did not raise any concerns regarding the clinical safety or efficacy of CTx-1301. We and our CDMO (defined below) are working to complete the CMC work necessary to support a resubmission of the NDA as promptly as practicable. There can be no assurance regarding the timing of any resubmission, that any resubmission will be accepted by the FDA, that approval of CTx-1301 will occur following any resubmission, or that approval will occur at all.  See Risk Factors section in Part II of this report for more information about the risks related to regulatory approval of CTx-1301.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Bend Bioscience, a contract development and manufacturing organization (CDMO), will manufacture all clinical, registration, and, if approved, commercial batches of our lead ADHD candidate, CTx-1301. Manufacturing will occur at a suite within the CDMO’s Gainesville, GA facility that is outfitted with equipment supplied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we plan to commercialize CTx-1301 in the United States. We continue to advance our commercialization preparations, with dedicated teams established across all key functional areas. Our launch strategy leverages a commercialization strategy augmented by AI-driven tools designed to optimize targeting, decision-making, and performance measurement — positioning us for a rapid commercial launch contingent upon FDA approval. Key areas of focus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Manufacturing: Working with Bend Bioscience, the Company’s contract development and manufacturing organization, to complete the requested CMC work and advance process validation for CTx-1301, which would serve as launch inventory if approved.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Distribution: On July 21, 2026, the Company signed an exclusive services agreement with Prasco, LLC to establish the commercial distribution infrastructure for the launch of CTx-1301, providing integrated third-party logistics and distribution capabilities designed to support broad national availability across major wholesalers as well as direct distribution to approximately 19,000 independent and smaller regional pharmacy accounts served under Prasco’s UNLIMIT program.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Access and Payer Strategy: Advancing payer segmentation, value proposition, pricing and contracting strategy, and to support formulary positioning ahead of a potential launch.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Operations and Omnichannel Infrastructure: Building marketing, commercial operations and digital capabilities through the Company’s master services agreement with Indegene, Inc., including dedicated market access, medical education, agency of record, and prescriber and patient marketing teams.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Deployment Planning: Under its agreement with IQVIA Inc., the Company will deploy field-based sales representatives in addition to its currently deployed corporate account directors to align with the timing of a potential approval and launch.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agreement with Indegene, Inc. (Indegene) for them to provide commercialization services for CTx-1301, including marketing, market access and pricing, commercial operations, and an omnichannel platform on a fee for service basis in the United States. We also have dedicated teams in place at Indegene across key functional areas including market access, medical education, prescriber and patient marketing, and digital infrastructure. Additionally, field-based sales representatives and corporate account directors will augment omnichannel promotional efforts through an agreement with IQVIA Inc.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United States Patent and Trademark Office issued U.S. Patent No. 12,653,791 covering CTx-1301. The patent protects key aspects of CTx-1301’s formulation and method of use through December 2042 and represents the first U.S. patent wholly owned by the Company covering CTx-1301, further strengthening our intellectual property portfolio surrounding our PTR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entered into a securities purchase agreement (Purchase Agreement) with several purchasers, including certain officers, directors and other affiliates of the Company (Purchasers), for the private placement (Private Placement) of: (i) 2,147,472 shares of the Company’s common stock, (ii) 954 shares of Series A convertible preferred stock with a stated value of $1,000 and a conversion price equal to a $5.04 per share of common stock and (iii) a warrant to purchase 1,869,415 shares of common stock (Warrant Shares) for aggregate gross proceeds of approximately $12.0 million, at a price per share of $5.14 per share of common stock (including $0.10 per Warrant Share). The Warrant Shares have an exercise price of $5.04 per share of common stock, subject to adjustment as provided in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occurred on February 6 and 13, 2026. At the special meeting of stockholders on March 24, 2026, stockholders approved the issuance of common stock upon conversion of the preferred stock and the exercise of the warrant. Upon stockholder approval (i) the preferred stock, without any further action by the Company or the holder, automatically converted into 191,824 shares of common stock determined by dividing the stated value plus all unpaid accrued and accumulated preferential dividends on such share by the $5.04 conversion price and (ii) the warrant became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 Creek Capital Advisor LLC, on behalf of the Purchasers that it manages has designated two (2) individuals to serve on the Company’s Board of Directors (each a Falcon Creek Director); provided, that (1) one Falcon Creek Director shall be required to resign from the Board of Directors if the Purchasers managed by Falcon Creek no longer beneficially owns at least 15% of the outstanding common stock of the Company and (2) the remaining Falcon Creek Director shall be required to resign from the Board of Directors if the Purchasers managed by Falcon Creek no longer beneficially owns at least 5% of the outstanding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Purchase Agreement, during the period commencing on and including the date of the Purchase Agreement and continuing through and including the 180th day following the date of the Purchase Agreement (such period being referred to as the Lock-up Period), each Purchaser could not, without the prior written consent of the Company, sell, offer to sell, contract to sell or lend any shares of common stock or Warrant Shares (Securities). The Purchase Agreement also provides that during the Lock-up Period, the Purchasers could not (i) effect any short sale, or establish or increase any “put equivalent position” or liquidate or decrease any “call equivalent position” of any Securities; (ii) pledge, hypothecate or grant any security interest in any Securities; (iii) in any other way transfer or dispose of any Securities; (iv) enter into any swap, hedge or similar arrangement or agreement that transfers, in whole or in part, the economic risk of ownership of any Securities, regardless of whether any such transaction is to be settled in securities, in cash or otherwise; (v) grant any proxies or powers of attorney with respect to any Securities, deposit any Securities into a voting trust, or enter into a voting agreement or similar arrangement or commitment with respect to any Securities; or (vi) publicly announce the intention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a standstill provision for a period of twenty-four (24) months following the closing date, whereby each Purchaser has agreed that, without the prior written consent of the Company, the Purchaser will not: (i) acquire, offer to acquire, or agree to acquire any additional securities of the Company if such acquisition would result in the Purchaser and its affiliates beneficially owning more than 40% of the Company’s outstanding common stock on an as-converted basis; (ii) make, or in any way participate in, any solicitation of proxies or consents with respect to any securities of the Company; or (iii) propose or participate in any merger, tender offer, business combination, recapitalization, or similar transaction involving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At-the-Market Agreement (2023 ATM Agreement) with H.C. Wainwright &amp; Co., LLC (HCW) in January 2023, as amended in May 2023, pursuant to which we could issue and sell, from time to time, shares of our common stock having an aggregate offering price of up to $31.9 million in at-the-market offering sales. HCW acted as sales agent and was paid a 3% commission on each sale under the 2023 ATM Agreement. Our common stock sold at prevailing market prices at the time of the sale, and, as a result, prices varied. We terminated the 2023 ATM Agreement, effective March 23,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we sold 364,963 shares of common stock, respectively, under the 2023 ATM Agreement, for net proceeds of $1,578,731, after deducting $54,363 of compensation to HCW and other administration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we entered into an ATM Sales Agreement (2026 ATM Agreement) with A.G.P./Alliance Global Partners, as sales agent (AGP), pursuant to which we may offer and sell, from time to time through AGP, shares of our common stock for aggregate gross proceeds of up to $100,000,000 in at-the-market offering sales. AGP acts as sales agent and is paid a 3% commission on each sale under the 2026 ATM Agreement. Our common stock is sold at prevailing market prices at the time of the sale, and, as a result, prices will vary.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sold 806,893 shares of common stock under the 2026 ATM Agreement, for net proceeds of $4,347,364, after deducting $136,364 of compensation to A.G.P. and other administration fees. Subsequent to June 30, 2026, we sold 271,717 shares of common stock under the 2026 ATM Agreement, for net proceeds of $1,394,179, after deducting $43,751 of compensation to A.G.P. and other administration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entered into a purchase agreement (Original LP Purchase Agreement) with Lincoln Park Capital Fund LLC (Lincoln Park). Pursuant to the Original LP Purchase Agreement, Lincoln Park agreed to purchase from us up to an aggregate of $12.0 million of common stock. As of June 30, 2025, the Company sold to Lincoln Park the maximum dollar value worth of common stock pursuant to the Original LP Purchase Agreement, and the Original LP Purchase Agreement thereupon expired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 second purchase agreement with Lincoln Park (2025 LP Purchase Agreement), pursuant to which Lincoln Park has agreed to purchase from the Company up to an aggregate of $25.0 million of common stock (subject to certain limitations and satisfaction of the conditions set forth in the 2025 LP Purchase Agreement) from time to time and at the Company’s sole discretion over the 36-month term of the 2025 LP Purchase Agreement. During the three months ended June 30, 2026, we sold 1,032,372 shares of common stock to Lincoln Park, under the 2025 LP Purchase Agreement, for net proceeds of $5,058,975. Subsequent to June 30, 2026, we sold 220,476 shares of common stock to Lincoln Park, under the 2025 LP Purchase Agreement, for net proceeds of $1,068,525.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for Equity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entered into a note purchase agreement with Streeterville Capital, LLC, a Utah limited liability company (Lender), pursuant to which we issued and sold to Lender an unsecured promissory note in the amount of $5,480,000 (2024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entered into exchange agreements with Lender to exchange an aggregate of $2,308,947 in principal, monitoring fee and interest for 460,122 shares of common stock, thereby extinguishing the 2024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entered into a note purchase agreement with Avondale Capital, LLC, a Utah limited liability company (Avondale), pursuant to which we issued and sold to Avondale an unsecured promissory note in the amount of $6,570,000 (2025 Note). From time to time, beginning on May 7, 2026, Avondale may redeem a portion of the 2025 Note, not to exceed an amount of $660,000 per month; and provided that we have not previously received a “complete response letter” from the FDA with respect to CTx-1301, we may defer up to two redemptions for up to thirty (30) days each. If we exercise our deferral right, the outstanding balance of the 2025 Note will be increased by 1% of the outstanding balance on the date of the deferral.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entered into exchange agreements with Avondale to exchange an aggregate of $1,320,000 in principal for 147,301 shares of common stock and aggregate cash payments of $660,000, thereby extinguishing that portion of the promissory note with Avondale. Subsequent to June 30, 2026, the Company entered into exchange agreements with Avondale to exchange an aggregate of $1,320,000 in principal for 139,751 shares of common stock and a cash payments of $600,000, thereby extinguishing that portion of the promissory note with Avondale.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to our consolidated financial statements for additional information regarding the 2024 Note and 2025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of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 of costs incurred in the discovery and development of our product candidates, and primarily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third party agreements with contract research organizations (CROs), and investigative sites, that conducted or will conduct our clinical trials and a portion of our pre-clinical activities;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raw materials, as well as manufacturing cost of our materials used in clinical trials and other development testing;</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salaries and benefits of employees engaged in R&amp;D activities;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manufacturing equipment, depreciation and other allocated expenses;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paid for contracted regulatory services as well as fees paid to regulatory authorities including the FDA for review and approval of our product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R&amp;D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activities are central to our business model. Subject to successful regulatory approval and commercialization of CTx-1301, we expect that our R&amp;D expenses will continue to increase as we continue clinical development for our product candidates, as well as adding additional PTR product candidates to our pipeline. As products enter later stages of clinical development, they will generally have higher development costs than those in earlier stages of clinical development, primarily due to the increased size and duration of later-stage clinical trials. Historically, our R&amp;D costs have primarily related to the development of CTx-1301. We expect to fund our R&amp;D expenses from our current cash and cash equivalents and any future equity or debt financings, or other capital sources.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consist primarily of (i) professional fees for legal, accounting, audit, tax and consulting services, (ii) salaries and related costs for our employees in administrative, executive and finance functions and (iii) pre-commercialization expenses for CTx-1301. SG&amp;A expenses also include insurance, office, and travel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SG&amp;A expenses will increase in the future as we increase our SG&amp;A headcount to support our growing operations, including the potential commercialization of CTx-1301, and incur costs related to pre-commercialization activities. We have experienced, and will continue to experience, increased expenses associated with being a public company, including costs of accounting, audit, legal, regulatory and tax compliance services; director and officer insurance; and investor and public relations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and interest and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relates to the 2025 LP Purchase Agreement and the change in fair value of the derivative asset or liability. Interest and other income (expense), net consists of interest expense on our notes payable and interest earned on our cash and cash equivalents, including money market funds. The primary objective of our investment policy is liquidity and capital preservation.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U.S. generally accepted accounting principles (U.S. GAAP). The preparation of the consolidated financial statements in conformity with U.S. GAAP requires management to make estimates and assumptions that affect the reported amounts of assets and liabilities, the disclosure of contingent assets and liabilities as of the date of the consolidated financial statements and the reported amounts of expenses during a reporting period. Actual results could differ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these policies can be found in the “Critical Accounting Policies and Significant Judgments and Estimates” section of our Form 10-K. There have been no changes in our application of critical accounting policies since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341" w:type="dxa"/>
        <w:jc w:val="left"/>
        <w:tblInd w:w="0" w:type="dxa"/>
        <w:tblLayout w:type="fixed"/>
        <w:tblCellMar>
          <w:top w:w="0" w:type="dxa"/>
          <w:left w:w="0" w:type="dxa"/>
          <w:bottom w:w="0" w:type="dxa"/>
          <w:right w:w="0" w:type="dxa"/>
        </w:tblCellMar>
      </w:tblPr>
      <w:tblGrid>
        <w:gridCol w:w="3290"/>
        <w:gridCol w:w="60"/>
        <w:gridCol w:w="181"/>
        <w:gridCol w:w="823"/>
        <w:gridCol w:w="123"/>
        <w:gridCol w:w="77"/>
        <w:gridCol w:w="181"/>
        <w:gridCol w:w="823"/>
        <w:gridCol w:w="95"/>
        <w:gridCol w:w="60"/>
        <w:gridCol w:w="195"/>
        <w:gridCol w:w="889"/>
        <w:gridCol w:w="95"/>
        <w:gridCol w:w="60"/>
        <w:gridCol w:w="103"/>
        <w:gridCol w:w="981"/>
        <w:gridCol w:w="30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30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1,487</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889"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(44.9</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3,928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1,949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pPr>
            <w:r>
              <w:rPr/>
              <w:t>1,979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pPr>
            <w:r>
              <w:rPr/>
              <w:t>101.5</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(5,415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(4,650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16.5</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(314</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61.9</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and income (expense), net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(141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(5,870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(4,983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pPr>
            <w:r>
              <w:rPr/>
              <w:t>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pPr>
            <w:r>
              <w:rPr/>
              <w:t>17.8</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561" w:type="dxa"/>
        <w:jc w:val="left"/>
        <w:tblInd w:w="0" w:type="dxa"/>
        <w:tblLayout w:type="fixed"/>
        <w:tblCellMar>
          <w:top w:w="0" w:type="dxa"/>
          <w:left w:w="0" w:type="dxa"/>
          <w:bottom w:w="0" w:type="dxa"/>
          <w:right w:w="0" w:type="dxa"/>
        </w:tblCellMar>
      </w:tblPr>
      <w:tblGrid>
        <w:gridCol w:w="3965"/>
        <w:gridCol w:w="60"/>
        <w:gridCol w:w="198"/>
        <w:gridCol w:w="795"/>
        <w:gridCol w:w="135"/>
        <w:gridCol w:w="85"/>
        <w:gridCol w:w="198"/>
        <w:gridCol w:w="795"/>
        <w:gridCol w:w="60"/>
        <w:gridCol w:w="60"/>
        <w:gridCol w:w="158"/>
        <w:gridCol w:w="717"/>
        <w:gridCol w:w="95"/>
        <w:gridCol w:w="60"/>
        <w:gridCol w:w="75"/>
        <w:gridCol w:w="800"/>
        <w:gridCol w:w="30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Clinical operations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37</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(727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(95.2</w:t>
            </w:r>
          </w:p>
        </w:tc>
        <w:tc>
          <w:tcPr>
            <w:tcW w:w="305"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Drug manufacturing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909</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(18.1</w:t>
            </w:r>
          </w:p>
        </w:tc>
        <w:tc>
          <w:tcPr>
            <w:tcW w:w="305"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585</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43.0</w:t>
            </w:r>
          </w:p>
        </w:tc>
        <w:tc>
          <w:tcPr>
            <w:tcW w:w="305"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Regulatory costs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pPr>
            <w:r>
              <w:rPr/>
              <w:t>(44</w:t>
            </w:r>
          </w:p>
        </w:tc>
        <w:tc>
          <w:tcPr>
            <w:tcW w:w="135"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8" w:space="0" w:color="000000"/>
            </w:tcBorders>
            <w:shd w:fill="FFFFFF" w:val="clear"/>
            <w:tcMar>
              <w:bottom w:w="28" w:type="dxa"/>
            </w:tcMar>
            <w:vAlign w:val="center"/>
          </w:tcPr>
          <w:p>
            <w:pPr>
              <w:pStyle w:val="TableContents"/>
              <w:bidi w:val="0"/>
              <w:spacing w:before="0" w:after="283"/>
              <w:jc w:val="right"/>
              <w:rPr/>
            </w:pPr>
            <w:r>
              <w:rPr/>
              <w:t>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pPr>
            <w:r>
              <w:rPr/>
              <w:t>(462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(110.5</w:t>
            </w:r>
          </w:p>
        </w:tc>
        <w:tc>
          <w:tcPr>
            <w:tcW w:w="305"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jc w:val="right"/>
              <w:rPr/>
            </w:pPr>
            <w:r>
              <w:rPr/>
              <w:t>1,487</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jc w:val="right"/>
              <w:rPr/>
            </w:pPr>
            <w:r>
              <w:rPr/>
              <w:t>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pPr>
            <w:r>
              <w:rPr/>
              <w:t>(1,214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(44.9</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decreased $1.2 million, or 44.9%, to $1.5 million for the three months ended June 30, 2026, from $2.7 million for the three months ended June 30, 2025. The decrease was driven primarily by lower clinical operations costs following the conclusion of clinical study activities in early 2025, and by the absence of the regulatory costs incurred in the second quarter of 2025 in connection with preparing the CTx-1301 NDA, which was submitted on July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SG&amp;A expenses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732" w:type="dxa"/>
        <w:jc w:val="left"/>
        <w:tblInd w:w="0" w:type="dxa"/>
        <w:tblLayout w:type="fixed"/>
        <w:tblCellMar>
          <w:top w:w="0" w:type="dxa"/>
          <w:left w:w="0" w:type="dxa"/>
          <w:bottom w:w="0" w:type="dxa"/>
          <w:right w:w="0" w:type="dxa"/>
        </w:tblCellMar>
      </w:tblPr>
      <w:tblGrid>
        <w:gridCol w:w="4715"/>
        <w:gridCol w:w="60"/>
        <w:gridCol w:w="203"/>
        <w:gridCol w:w="814"/>
        <w:gridCol w:w="87"/>
        <w:gridCol w:w="87"/>
        <w:gridCol w:w="203"/>
        <w:gridCol w:w="814"/>
        <w:gridCol w:w="60"/>
        <w:gridCol w:w="60"/>
        <w:gridCol w:w="217"/>
        <w:gridCol w:w="868"/>
        <w:gridCol w:w="95"/>
        <w:gridCol w:w="60"/>
        <w:gridCol w:w="103"/>
        <w:gridCol w:w="981"/>
        <w:gridCol w:w="30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471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30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Pre-commercialization costs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1,688</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1,589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Personnel expenses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869</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89.3</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1,039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7.2</w:t>
            </w:r>
          </w:p>
        </w:tc>
        <w:tc>
          <w:tcPr>
            <w:tcW w:w="30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Occupancy</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47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(46.6</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149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(14.9</w:t>
            </w:r>
          </w:p>
        </w:tc>
        <w:tc>
          <w:tcPr>
            <w:tcW w:w="30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136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Total 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3,928</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1,949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pPr>
            <w:r>
              <w:rPr/>
              <w:t>1,979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SG&amp;A expenses increased $2.0 million, or 101.5%, to $3.9 million for the three months ended June 30, 2026, from $1.9 million for the three months ended June 30, 2025. The increase was driven primarily by commercial readiness planning for the potential launch of CTx-1301, including increased headcount and market access, pricing, reimbursement, and medical affairs activities conducted through Indegene, our primary commercial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and interest and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 in fair value of derivative and interest and other income (expense), net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741" w:type="dxa"/>
        <w:jc w:val="left"/>
        <w:tblInd w:w="0" w:type="dxa"/>
        <w:tblLayout w:type="fixed"/>
        <w:tblCellMar>
          <w:top w:w="0" w:type="dxa"/>
          <w:left w:w="0" w:type="dxa"/>
          <w:bottom w:w="0" w:type="dxa"/>
          <w:right w:w="0" w:type="dxa"/>
        </w:tblCellMar>
      </w:tblPr>
      <w:tblGrid>
        <w:gridCol w:w="3800"/>
        <w:gridCol w:w="60"/>
        <w:gridCol w:w="230"/>
        <w:gridCol w:w="747"/>
        <w:gridCol w:w="156"/>
        <w:gridCol w:w="98"/>
        <w:gridCol w:w="230"/>
        <w:gridCol w:w="747"/>
        <w:gridCol w:w="95"/>
        <w:gridCol w:w="60"/>
        <w:gridCol w:w="291"/>
        <w:gridCol w:w="793"/>
        <w:gridCol w:w="60"/>
        <w:gridCol w:w="60"/>
        <w:gridCol w:w="129"/>
        <w:gridCol w:w="955"/>
        <w:gridCol w:w="23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230"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23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7" w:type="dxa"/>
            <w:tcBorders/>
            <w:shd w:fill="CCEEFF" w:val="clear"/>
            <w:vAlign w:val="center"/>
          </w:tcPr>
          <w:p>
            <w:pPr>
              <w:pStyle w:val="TableContents"/>
              <w:bidi w:val="0"/>
              <w:spacing w:before="0" w:after="283"/>
              <w:jc w:val="right"/>
              <w:rPr/>
            </w:pPr>
            <w:r>
              <w:rPr/>
              <w:t>(314</w:t>
            </w:r>
          </w:p>
        </w:tc>
        <w:tc>
          <w:tcPr>
            <w:tcW w:w="15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747"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61.9</w:t>
            </w:r>
          </w:p>
        </w:tc>
        <w:tc>
          <w:tcPr>
            <w:tcW w:w="23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Interest and other income (expense), net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(141</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1.4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for the three months ended June 30, 2026 and June 30, 2025 relates to the 2025 LP Purchase Agreement and the change in fair value of the derivative asset or liability. Interest expense, net for the three months ended June 30, 2026 and June 30, 2025 relates to interest incurred on the 2024 Note and 2025 Note, offset by interest earned on invested balances.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3290"/>
        <w:gridCol w:w="60"/>
        <w:gridCol w:w="146"/>
        <w:gridCol w:w="790"/>
        <w:gridCol w:w="99"/>
        <w:gridCol w:w="62"/>
        <w:gridCol w:w="146"/>
        <w:gridCol w:w="664"/>
        <w:gridCol w:w="95"/>
        <w:gridCol w:w="60"/>
        <w:gridCol w:w="195"/>
        <w:gridCol w:w="889"/>
        <w:gridCol w:w="95"/>
        <w:gridCol w:w="60"/>
        <w:gridCol w:w="103"/>
        <w:gridCol w:w="981"/>
        <w:gridCol w:w="30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329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30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3,671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664" w:type="dxa"/>
            <w:tcBorders/>
            <w:shd w:fill="FFFFFF" w:val="clear"/>
            <w:vAlign w:val="center"/>
          </w:tcPr>
          <w:p>
            <w:pPr>
              <w:pStyle w:val="TableContents"/>
              <w:bidi w:val="0"/>
              <w:spacing w:before="0" w:after="283"/>
              <w:jc w:val="right"/>
              <w:rPr/>
            </w:pPr>
            <w:r>
              <w:rPr/>
              <w:t>4,924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889" w:type="dxa"/>
            <w:tcBorders/>
            <w:shd w:fill="FFFFFF" w:val="clear"/>
            <w:vAlign w:val="center"/>
          </w:tcPr>
          <w:p>
            <w:pPr>
              <w:pStyle w:val="TableContents"/>
              <w:bidi w:val="0"/>
              <w:spacing w:before="0" w:after="283"/>
              <w:jc w:val="right"/>
              <w:rPr/>
            </w:pPr>
            <w:r>
              <w:rPr/>
              <w:t>(1,253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(25.4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9,667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3,432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pPr>
            <w:r>
              <w:rPr/>
              <w:t>6,235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pPr>
            <w:r>
              <w:rPr/>
              <w:t>181.7</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(13,338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(8,356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4,982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59.6</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(1,166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377.9</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and income (expense),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FFFFFF" w:val="clear"/>
            <w:tcMar>
              <w:bottom w:w="28" w:type="dxa"/>
            </w:tcMar>
            <w:vAlign w:val="center"/>
          </w:tcPr>
          <w:p>
            <w:pPr>
              <w:pStyle w:val="TableContents"/>
              <w:bidi w:val="0"/>
              <w:spacing w:before="0" w:after="283"/>
              <w:jc w:val="right"/>
              <w:rPr/>
            </w:pPr>
            <w:r>
              <w:rPr/>
              <w:t>(678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pPr>
            <w:r>
              <w:rPr/>
              <w:t>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187.3</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jc w:val="right"/>
              <w:rPr/>
            </w:pPr>
            <w:r>
              <w:rPr/>
              <w:t>(15,182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(8,836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pPr>
            <w:r>
              <w:rPr/>
              <w:t>6,346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pPr>
            <w:r>
              <w:rPr/>
              <w:t>71.8</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261" w:type="dxa"/>
        <w:jc w:val="left"/>
        <w:tblInd w:w="0" w:type="dxa"/>
        <w:tblLayout w:type="fixed"/>
        <w:tblCellMar>
          <w:top w:w="0" w:type="dxa"/>
          <w:left w:w="0" w:type="dxa"/>
          <w:bottom w:w="0" w:type="dxa"/>
          <w:right w:w="0" w:type="dxa"/>
        </w:tblCellMar>
      </w:tblPr>
      <w:tblGrid>
        <w:gridCol w:w="3965"/>
        <w:gridCol w:w="60"/>
        <w:gridCol w:w="175"/>
        <w:gridCol w:w="703"/>
        <w:gridCol w:w="75"/>
        <w:gridCol w:w="75"/>
        <w:gridCol w:w="175"/>
        <w:gridCol w:w="703"/>
        <w:gridCol w:w="60"/>
        <w:gridCol w:w="60"/>
        <w:gridCol w:w="158"/>
        <w:gridCol w:w="717"/>
        <w:gridCol w:w="95"/>
        <w:gridCol w:w="60"/>
        <w:gridCol w:w="91"/>
        <w:gridCol w:w="784"/>
        <w:gridCol w:w="30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Clinical operations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91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(95.1</w:t>
            </w:r>
          </w:p>
        </w:tc>
        <w:tc>
          <w:tcPr>
            <w:tcW w:w="305"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Drug manufacturing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2,076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39.3</w:t>
            </w:r>
          </w:p>
        </w:tc>
        <w:tc>
          <w:tcPr>
            <w:tcW w:w="305"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1,356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39.8</w:t>
            </w:r>
          </w:p>
        </w:tc>
        <w:tc>
          <w:tcPr>
            <w:tcW w:w="305"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Regulatory costs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148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(75.0</w:t>
            </w:r>
          </w:p>
        </w:tc>
        <w:tc>
          <w:tcPr>
            <w:tcW w:w="305"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3,671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pPr>
            <w:r>
              <w:rPr/>
              <w:t>(1,253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double" w:sz="6" w:space="0" w:color="000000"/>
            </w:tcBorders>
            <w:shd w:fill="CCEEFF" w:val="clear"/>
            <w:tcMar>
              <w:bottom w:w="28" w:type="dxa"/>
            </w:tcMar>
            <w:vAlign w:val="center"/>
          </w:tcPr>
          <w:p>
            <w:pPr>
              <w:pStyle w:val="TableContents"/>
              <w:bidi w:val="0"/>
              <w:spacing w:before="0" w:after="283"/>
              <w:jc w:val="right"/>
              <w:rPr/>
            </w:pPr>
            <w:r>
              <w:rPr/>
              <w:t>(25.4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decreased approximately $1.3 million, or 25.4%, to $3.7 million for the six months ended June 30, 2026, from $4.9 million for the six months ended June 30, 2025. The decrease was driven primarily by lower clinical operations costs following the conclusion of clinical studies in early 2025 and the absence of increased NDA-preparation regulatory costs incurred in the prior-year period, partially offset by increased manufacturing activities in the first half of 2026 related to CTx-1301 as well as increased personnel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SG&amp;A expenses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4715"/>
        <w:gridCol w:w="60"/>
        <w:gridCol w:w="175"/>
        <w:gridCol w:w="703"/>
        <w:gridCol w:w="75"/>
        <w:gridCol w:w="75"/>
        <w:gridCol w:w="175"/>
        <w:gridCol w:w="703"/>
        <w:gridCol w:w="60"/>
        <w:gridCol w:w="60"/>
        <w:gridCol w:w="217"/>
        <w:gridCol w:w="868"/>
        <w:gridCol w:w="95"/>
        <w:gridCol w:w="60"/>
        <w:gridCol w:w="103"/>
        <w:gridCol w:w="981"/>
        <w:gridCol w:w="30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305" w:type="dxa"/>
            <w:tcBorders/>
            <w:vAlign w:val="center"/>
          </w:tcPr>
          <w:p>
            <w:pPr>
              <w:pStyle w:val="TableContents"/>
              <w:bidi w:val="0"/>
              <w:spacing w:before="0" w:after="283"/>
              <w:jc w:val="left"/>
              <w:rPr/>
            </w:pPr>
            <w:r>
              <w:rPr/>
              <w:t> </w:t>
            </w:r>
          </w:p>
        </w:tc>
      </w:tr>
      <w:tr>
        <w:trPr/>
        <w:tc>
          <w:tcPr>
            <w:tcW w:w="471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30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Pre-commercialization costs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5,213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5,102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Personnel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1,985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92.7</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1,708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15.9</w:t>
            </w:r>
          </w:p>
        </w:tc>
        <w:tc>
          <w:tcPr>
            <w:tcW w:w="30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Occupancy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141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(6.0</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299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(19.4</w:t>
            </w:r>
          </w:p>
        </w:tc>
        <w:tc>
          <w:tcPr>
            <w:tcW w:w="305"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305"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Total 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9,667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3,432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pPr>
            <w:r>
              <w:rPr/>
              <w:t>6,235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pPr>
            <w:r>
              <w:rPr/>
              <w:t>181.7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SG&amp;A expenses increased approximately $6.2 million, or 181.7%, to $9.7 million for the six months ended June 30, 2026, from $3.4 million for the six months ended June 30, 2025, reflecting the progressive build-out of commercial readiness capabilities across the first half of the year, including headcount additions and expanded market access, pricing, reimbursement, and medical affairs activity through Indegene, our primary commercialization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and interest and 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 in fair value of derivative and interest and other income (expense), net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3800"/>
        <w:gridCol w:w="60"/>
        <w:gridCol w:w="175"/>
        <w:gridCol w:w="795"/>
        <w:gridCol w:w="118"/>
        <w:gridCol w:w="75"/>
        <w:gridCol w:w="175"/>
        <w:gridCol w:w="569"/>
        <w:gridCol w:w="95"/>
        <w:gridCol w:w="60"/>
        <w:gridCol w:w="291"/>
        <w:gridCol w:w="793"/>
        <w:gridCol w:w="60"/>
        <w:gridCol w:w="60"/>
        <w:gridCol w:w="103"/>
        <w:gridCol w:w="981"/>
        <w:gridCol w:w="23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b/>
              </w:rPr>
            </w:pPr>
            <w:r>
              <w:rPr>
                <w:b/>
              </w:rPr>
              <w:t>Increase</w:t>
            </w:r>
          </w:p>
        </w:tc>
        <w:tc>
          <w:tcPr>
            <w:tcW w:w="230"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23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(1,166</w:t>
            </w:r>
          </w:p>
        </w:tc>
        <w:tc>
          <w:tcPr>
            <w:tcW w:w="118"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Interest and 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(678</w:t>
            </w:r>
          </w:p>
        </w:tc>
        <w:tc>
          <w:tcPr>
            <w:tcW w:w="118"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187.3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for the six-months ended June 30, 2026 relates to the 2025 LP Purchase Agreement and remeasurement of the associated derivative asset or liability. Interest expense, net reflects interest incurred on the 2024 Note and 2025 Note, partially offset by interest earned on invested cash balances.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tbl>
      <w:tblPr>
        <w:tblW w:w="7032" w:type="dxa"/>
        <w:jc w:val="left"/>
        <w:tblInd w:w="0" w:type="dxa"/>
        <w:tblLayout w:type="fixed"/>
        <w:tblCellMar>
          <w:top w:w="0" w:type="dxa"/>
          <w:left w:w="0" w:type="dxa"/>
          <w:bottom w:w="0" w:type="dxa"/>
          <w:right w:w="0" w:type="dxa"/>
        </w:tblCellMar>
      </w:tblPr>
      <w:tblGrid>
        <w:gridCol w:w="4955"/>
        <w:gridCol w:w="60"/>
        <w:gridCol w:w="146"/>
        <w:gridCol w:w="790"/>
        <w:gridCol w:w="99"/>
        <w:gridCol w:w="62"/>
        <w:gridCol w:w="146"/>
        <w:gridCol w:w="664"/>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(12,813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(9,403</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(128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30,390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6,098</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17,449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pPr>
            <w:r>
              <w:rPr/>
              <w:t>(3,311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$12.8 million for the six months ended June 30, 2026. Cash used in operating activities was primarily due to the use of funds in our operations and to develop CTx-1301 resulting in a net loss of $15.2 million, including the effects of significant noncash items, stock-based compensation expense of $1.0 million, change in fair value of derivative of $1.2 million, loss on debt extinguishment of $0.5 million, accretion of discount on note payable of $0.2 million and depreciation expense of $0.2 million. Changes in operating assets and liabilities included an increase in prepaid expenses and other current assets of $0.7 million primarily due to payments for manufacturing materials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$9.4 million for the six months ended June 30, 2025. Cash used in operating activities was primarily due to the use of funds in our operations to develop our product candidates resulting in a net loss of $8.8 million, including the effects of significant noncash items, stock-based compensation expense of $0.5 million and depreciation expense of $0.3 million. Changes in operating assets and liabilities included a decrease in trade accounts payable and accrued expenses of $0.9 million primarily due to the payment of vendor balances in the first quarter of 2025 and an increase in prepaid expenses and other current assets of $0.9 million primarily due to payments for professional and marketing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six-month period ended June 30, 2026 was primarily related to the purchase of equipment to support our R&amp;D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six-month period ended June 30, 2026 was related to the cash proceeds from the issuance of securities pursuant to the Private Placement, 2023 ATM Agreement, 2026 ATM Agreement and the 2025 LP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six-month period ended June 30, 2025 was related to the cash proceeds from the issuance of common stock pursuant to the 2023 ATM Agreement and the Original LP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$28.4 million. Under our current business plan, we believe our cash will satisfy our capital needs into mid 2027. Changing circumstances may cause us to expend cash significantly faster than we currently anticipate, and we may need to spend more cash than currently expected because of circumstances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2012 through June 30, 2026, we have not generated any revenue and have incurred significant operating losses and negative cash flow from our operations. We have funded our operations primarily through private and public equity and debt financings. In February 2026, we received gross proceeds of $12,011,000 from the Private Placement.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June 30, 2026, we sold 806,893 shares of common stock under the 2026 ATM Agreement, for net proceeds of $4,347,364, after deducting $136,364 of compensation to A.G.P. and other administration fees. Subsequent to June 30, 2026, we sold 271,717 shares of common stock under the 2026 ATM Agreement, for net proceeds of $1,394,179, after deducting $43,751 of compensation to A.G.P. and other administration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sold 1,032,372 shares of common stock under the 2025 LP Purchase Agreement, for net proceeds of $5,058,975. Subsequent to June 30, 2026, we sold 220,476 shares of common stock under the 2025 LP Purchase Agreement, for net proceeds of $1,068,525.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invest any cash in excess of our immediate requirements in investments designed to preserve the principal balance and provide liquidity while producing a modest return on investment. Accordingly, our cash equivalents are invested primarily in money market funds which are currently providing only a minimal return given the current interest rate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substantial additional operating losses for the near term as we continue to seek marketing approval for CTx-1301 . Subsequent to potential marketing approval for CTx-1301, we will incur sales, marketing, operational and manufacturing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use of operating cash and capital requirements will depend on many forward-looking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receive FDA approval for CTx-1301 and the timing of such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the FDA review process for CTx-1301;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manufacturing the clinical supply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clinical trials for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plans we establish for each product candidate;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develop or may in-license;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collaboration or license agreements we may choose to execute;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 of meeting regulatory requirements established by the FDA or other comparable foreign regulatory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prosecuting, defending and enforcing our patent claims and other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intellectual property disputes, including patent infringement actions brought by third parties against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the implementation of commercial scale manufacturing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outsourcing our commercialization efforts, including sales, marketing and distribution capabilities for any product candidates for which we may receive regulatory approval in regions where we choose to commercialize our products.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to grow our business over the longer term, we plan to commit substantial resources to R&amp;D, including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pursuant to the 2025 Note Purchase Agreement with Avondale, we are subject to certain restrictions on our ability to issue securities during the term of the 2025 Note. Specifically, we have agreed, among other things, to refrain from entering into any agreement or covenant that locks up, restricts or otherwise prohibits us from entering into a variable rate transaction with the lenders or any of their affiliates, or from issuing common stock or other equity or debt securities to the lenders or any of their affiliates. If we breach the 2025 Note Purchase Agreement, we may be obligated to indemnify Avondale for loss or damage arising as a result of any breach or alleged breach by us of the 2025 Note Purchase Agreement, which may affect our business operations and financial condition. Additionally, the 2025 Note provides that following an event of default under the 2025 Note, Avondale has the right to seek and receive injunctive relief from a court or an arbitrator prohibiting us from issuing any of our common stock or preferred stock to any party unless fifty percent of the gross proceeds received by us in connection with such issuance are simultaneously used to make a payment under the 2025 Note. Avondale also has the right to seek and receive injunctive relief from a court or arbitrator to prevent the consummation of any fundamental transaction, as defined in the 2025 Note, unless it contains a closing condition that the 2025 Note are paid in full upon consummation of the transaction or Avondale has provided its written consent to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contractual obligations as of June 30, 2026 that will affect our future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patent and know-how licensing agreement with BDD Pharma Limited in August 2018. See “Item 1. Business – Material Agreements” section of our Form 10-K for a description of this agreement. We are required to pay BDD Pharma certain amounts in connection with clinical trial and regulatory milestones. The final milestone payment of $250,000 will be due to BDD upon FDA approval of CTx-1301. Additional royalty payments will become due upon potential sales of CTx-1301 pursuant to the terms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agreements with Bend Bioscience, our CDMO, for CMC work to be completed relating to the resubmission of our NDA for CTx-1301 including the manufacturing of our verification batches with a total cost of approximately $1.6 million.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with Bend Bioscience, our CDMO, for the manufacture of process validation batches of CTx-1301 with a total estimated cost of approximately $7.0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executed a lease to renew the office space for its headquarters in Kansas City, Kansas. The lease has a five-year term that commenced on June 1, 2025 with total rent of $33,145 per month over the lease term. The operating lease right-of-use asset was $1,223,587, the current portion of the operating lease liability was $255,132 and the long-term portion of the lease liability was $968,455 as of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been engaged in organizational activities, including raising capital and R&amp;D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R&amp;D. There can be no assurance that our R&amp;D projects will be successful, that products developed will obtain necessary regulatory approval, or that any approved product will be commercially viable. In addition, we operate in an environment of rapid technological change that is largely dependent on the services of our employees and consultants. Further, our future operations are dependent on the success of our efforts to raise additional capital. These uncertainties raise substantial doubt about our ability to continue as a going concern for one year after the issuance date of our financial statements. The accompanying consolidated financial statements have been prepared on a going concern basis. The consolidated financial statements do not include any adjustments to reflect the possible future effects on the recoverability and classification of assets or the amounts and classification of liabilities that may result from the possible inability of the company to continue as a going concern, which contemplates the continuation of operations, realization of assets and liquidation of liabilities in the ordinary course of business. We have incurred a net loss for the three months ended June 30, 2026 and 2025 and had accumulated losses of $147.6 million since inception to June 30, 2026. We anticipate incurring additional losses until such time, if ever, that we can generate significant revenue from our product candidates currently in development. Our sources of capital have included private capital raises in various classes of units of CTx prior to the Reorganization Merger, the issuance of equity securities in connection with our initial public offering (IPO), follow-on public offerings in September 2023 and February 2024, sales of common stock under our 2023 ATM Agreement and 2026 ATM Agreement, Original LP Purchase Agreement and 2025 LP Purchase Agreement, a private placement with WFIA, the WFIA Note, which was subsequently converted to equity, the June 2024 warrant inducement, the issuance of the 2024 Note, which was subsequently converted to equity, and 2025 Note and the Private Placement in February 2026. Additional capital will be needed by us to fund our operations, to complete development of and to commercially develop our product candidates. There is no assurance that such capital will be available when needed or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2012, the JOBS Act was signed into law. The JOBS Act contains provisions that, among other things, reduce certain reporting requirements for an “emerging growth company.” As an “emerging growth company,” we are electing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the fifth anniversary of the completion of our IPO, which occurred in December 2021, or until we no longer meet the requirements for being an “emerging growth company,” whichever occurs first.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5" w:name="sh_002"/>
      <w:bookmarkEnd w:id="71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6" w:name="sh_003"/>
      <w:bookmarkEnd w:id="71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Our Disclosure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that is designed to ensure that information required to be disclosed in the reports that we file or submit under the Securities Exchange Act of 1934, as amended (the “Exchange Act”) is recorded, processed, summarized and reported within time periods specified in the SEC’s rules and forms and that such information is accumulated and communicated to our management, including our Chief Executive Officer and Chief Financial Officer, as appropriate, to allow timely decisions regarding required disclosure. A control system, no matter how well conceived and operated, can provide only reasonable, not absolute, assurance that the objectives of the control system are met. Our Chief Executive Officer and Chief Financial Officer, after evaluating the effectiveness of our disclosure controls and procedures (as defined in Rule 13a-15(e) and 15d-15(e) of the Exchange Act) as of June 30, 2026, has concluded that our disclosure controls and procedures were effective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sh_004"/>
      <w:bookmarkEnd w:id="71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8" w:name="sh_005"/>
      <w:bookmarkEnd w:id="71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 Item 1, Notes to Consolidated Financial Statements, Note 6 – Contingencies,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9" w:name="sh_006"/>
      <w:bookmarkEnd w:id="71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Reference is made to Part I Item 1A. Risk Factors in our Annual Report on Form 10–K for the year ended December 31, 2025, which sets forth information relating to important risks and uncertainties that could materially adversely affect our business, financial condition or operating results. Except as set forth below, there have been no material changes to the risk factors contained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heavily on the success of CTx-1301. We received a Complete Response Letter from the FDA citing certain manufacturing deficiencies and other non-clinical issues, which may delay or prevent approval of CTx-1301.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currently is CTx-1301, for which we submitted a NDA with the FDA in July 2025. We do not currently generate revenues from any FDA approved drug products and our other product candidates are in the early stages of development. There is no guarantee that our clinical trials will be successful or that we will continue with clinical studies to support an approval from the FDA of any of our product candidates for any indication. We note that most drug candidates never reach the clinical development stage and even those that do have only a small chance of successfully completing clinical development and gaining regulatory approval. Therefore, our business currently depends heavily on the successful development, regulatory approval and commercialization of CTx-1301, which may never occur. In June 2026, we received a Complete Response Letter (“CRL”) for our New Drug Application (“NDA”) for CTx-1301. The CRL identified specific Chemistry, Manufacturing and Controls (CMC) information requests. While the CRL did not raise any current concerns regarding the clinical safety or efficacy of CTx-1301, we are in the process of generating additional data as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will rely in large part on Bend Bioscience, our contract development and manufacturing organization (“CDMO”) to remediate the identified deficiencies.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CDMO cannot sufficiently address the issues set forth in the CRL, we may not be able to resubmit the NDA, or resubmission may not result in approval. If we do resubmit the NDA, the FDA may conduct a re-inspection of our CDMO, and there can be no assurance that the facility will be found compliant or that additional deficiencies will not be identified. As a result, approval of CTx-1301 may be significantly delayed, limited, or may not be obtained at all, any of which could materially and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Premarket review of our product candidates by the FDA or other regulatory authorities is a lengthy and uncertain process and approval may be delayed, limited or denied, any of which would adversely affect our ability to generate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permitted to market our drug product candidates in the United States until we receive the respective approval of a NDA from the FDA. The time required to obtain approval, if any, by the FDA is unpredictable, but typically takes multiple years following the commencement of clinical trials, and depends upon numerous factors, including the substantial discretion of the regulatory authorities and the type, complexity and novelty of the product candidates involved. Our most advanced product candidate currently is CTx-1301, for which we submitted a NDA with the FDA in July 2025. We received a CRL for our NDA for CTx-1301 in June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resubmit our NDA, however, the FDA has substantial discretion in the drug approval process, including the ability to delay, limit or deny approval of the resubmission. The FDA may also conduct a re-inspection of our CDMO, and there can be no assurance that the facility will be found compliant or that additional deficiencies will not be identified. For additional information, see “—</w:t>
      </w:r>
      <w:r>
        <w:rPr>
          <w:rFonts w:ascii="Times New Roman;Times;Serif" w:hAnsi="Times New Roman;Times;Serif"/>
          <w:b w:val="false"/>
          <w:i/>
          <w:caps w:val="false"/>
          <w:smallCaps w:val="false"/>
          <w:sz w:val="20"/>
        </w:rPr>
        <w:t>We depend heavily on the success of CTx-1301. We received a Complete Response Letter from the FDA citing certain manufacturing deficiencies, which may delay or prevent approval of CTx-1301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(and those of our contract manufacturer) to develop, make and win approval for CTx-1301 continue to be subject to inspection and approval by the FDA and other factors outside of our control, and there remains a risk that the required FDA approvals of CTx-1301 and/or the third party facilities used to manufacture CTx-1301 could be further delayed or not obtained. There can be no assurance that a resubmission of the NDA of CTx-1301 will be approved or that such resubmission will occur at all, which would significantly harm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ensure our CDMO complies with cGMP, and regulatory inspections or findings could interrupt supply and delay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ensure that our CDMO complies with cGMP regulations. Manufacturing deviations, documentation errors, or quality system gaps at CDMOs can lead to Form 483 observations, warning letters, or import alerts, jeopardizing clinical supply continuity. Pre-approval inspections assess readiness for commercial production and can reveal issues that require significant remediation time and investment.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Our CDMO is working on responses to these observation, with our input where relevant. The FDA may also conduct a re-inspection of our CDMO if and when we resubmit our NDA for CTx-1301, and there can be no assurance that the facility will be found compliant or that additional deficiencies will not be identified. For additional information, see “—</w:t>
      </w:r>
      <w:r>
        <w:rPr>
          <w:rFonts w:ascii="Times New Roman;Times;Serif" w:hAnsi="Times New Roman;Times;Serif"/>
          <w:b w:val="false"/>
          <w:i/>
          <w:caps w:val="false"/>
          <w:smallCaps w:val="false"/>
          <w:sz w:val="20"/>
        </w:rPr>
        <w:t>We depend heavily on the success of CTx-1301. We received a Complete Response Letter from the FDA citing certain manufacturing deficiencies and other non-clinical issues, which may delay or prevent approval of CTx-1301.</w:t>
      </w:r>
      <w:r>
        <w:rPr>
          <w:rFonts w:ascii="Times New Roman;Times;Serif" w:hAnsi="Times New Roman;Times;Serif"/>
          <w:b w:val="false"/>
          <w:i w:val="false"/>
          <w:caps w:val="false"/>
          <w:smallCaps w:val="false"/>
          <w:sz w:val="20"/>
        </w:rPr>
        <w:t>” Our efforts continue to be subject to inspection and approval by the FDA and other factors outside of our control, and there remains a risk that the required FDA approvals of CTx-1301 and/or our CDMO’s facility used to manufacture CTx-1301 could be further delayed or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changes to manufacturing processes or facilities can trigger comparability assessments or bridging studies, adding regulatory complexity. If our CDMO loses licensure or fails to meet cGMP standards, transitioning to an alternate CDMO may be lengthy and costly, potentially delaying development and commercialization. See “—</w:t>
      </w:r>
      <w:r>
        <w:rPr>
          <w:rFonts w:ascii="Times New Roman;Times;Serif" w:hAnsi="Times New Roman;Times;Serif"/>
          <w:b w:val="false"/>
          <w:i/>
          <w:caps w:val="false"/>
          <w:smallCaps w:val="false"/>
          <w:sz w:val="20"/>
        </w:rPr>
        <w:t>We rely on third-parties, many of whom are our single source for services, products and/or supplies, over whom we have limited control. Should the cost, delivery and/or quality of services, products or supplies provided by these third-parties vary to our disadvantage, our business operations could suffer significant harm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third-parties, many of whom are our single source for services, products and/or supplies, over whom we have limited control. Should the cost, delivery and/or quality of services, products or supplies provided by these third-parties vary to our disadvantage, our business operations could suffer significant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research and development company and have limited experience in commercial manufacturing. To conduct late-stage clinical trials, as well as manufacture and commercialize our drug candidates, we engage a CDMO and suppliers in the U.S. to manufacture our drug candidates on a large scale at a competitive cost and in accordance with cGMP and regulatory requirements, as applicable. We also rely on third parties for filling, labeling and storage for studies inside and outside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while we will try to obtain multiple sources whenever possible, similar to other clinical stage pharmaceutical companies, all stages of our manufacturing process are currently completed by a single CDMO, which could expose us to a number of risks related to our supply chain if and when we become a commercial stage company, including delivery failure and drug shortages. To date, we have no qualified alternative sources. Any manufacturing failures or compliance issues experienced by our CDMO could cause delays in our clinical studies or commercialization of our drug candidates.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received a CRL for our NDA for CTx-1301. The CRL identified specific Chemistry, Manufacturing and Controls (CMC) information requests. We will need to rely in large part on our CDMO to remediate the identified deficiencies, and our ability to resolve these issues is subject to factors outside our control.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may require facility upgrades, quality system enhancements, equipment requalification, and additional validation studies or testing, any of which could be costly and time-consuming. If our CDMO is unable to adequately or timely remediate the identified deficiencies, we may need to transfer manufacturing operations to an alternative facility, which would involve significant time, expense and regulatory risk. . For example, in October 2022, we announced a new CDMO. The CTx-1301 fixed-dose study was delayed while the manufacturing process with the new CDMO was established to manufacture the final dosage strengths needed for the fixed-dose study. We also may be unable to identify or establish manufacturing at an adequate alternative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establish our own commercial manufacturing facility, we would require substantial additional funds and we would need to acquire a manufacturing facility,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our CDMO under established manufacturing arrangements that comply with the FDA’s requirements and other regulatory standards, although there is no assurance that the manufacturing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third-party manufacturing facilities limits our control over and ability to monitor the manufacturing process. As a result, we may not be able to detect a variety of problems that may arise and may face additional costs in the process of interfacing with and monitoring the progress of our CDMO. If our CDMO fails to meet our manufacturing needs in an acceptable manner or fail to comply with regulatory requirements, we would face delays and additional costs while we develop internal manufacturing capabilities or find alternate sources. It may not be possible to have multiple manufacturers ready to supply us with needed material at all or without incurring significant costs. Our dependence upon third-party manufacturing facilities for the manufacture of our products may adversely affect our profit margins and our ability to develop, manufacture, sell and deliver products on a timely and competitive basis. Any manufacturing failures, supply chain delays or compliance issues could cause delays in our clinical studies for our drug candidates, FDA approval of our product candidates, and, if approved,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approval of CTx-1301 or any product candidate, the FDA must review and approve validation studies for both drug substance and drug product. In February 2026, the FDA conducted a pre-approval inspection of our CDMO’s facility used to manufacture CTx-1301. This facility was issued a Form 483 by the FDA at the conclusion of the inspection with three observations. Two observations were related to the facility, and one observation was specific to CTx-1301. The FDA may also conduct a re-inspection of our CDMO if and when we resubmit our NDA for CTx-1301, and there can be no assurance that the facility will be found compliant or that additional deficiencies will not be identified. For additional information, see “—</w:t>
      </w:r>
      <w:r>
        <w:rPr>
          <w:rFonts w:ascii="Times New Roman;Times;Serif" w:hAnsi="Times New Roman;Times;Serif"/>
          <w:b w:val="false"/>
          <w:i/>
          <w:caps w:val="false"/>
          <w:smallCaps w:val="false"/>
          <w:sz w:val="20"/>
        </w:rPr>
        <w:t>We depend heavily on the success of CTx-1301. We received a Complete Response Letter from the FDA citing certain manufacturing deficiencies and other non-clinical issues, which may delay or prevent approval of CTx-1301</w:t>
      </w:r>
      <w:r>
        <w:rPr>
          <w:rFonts w:ascii="Times New Roman;Times;Serif" w:hAnsi="Times New Roman;Times;Serif"/>
          <w:b w:val="false"/>
          <w:i w:val="false"/>
          <w:caps w:val="false"/>
          <w:smallCaps w:val="false"/>
          <w:sz w:val="20"/>
        </w:rPr>
        <w:t>”. Our efforts continue to be subject to inspection and approval by the FDA and other factors outside of our control, and there remains a risk that the required FDA approvals of CTx-1301 and/or our CDMO’s facility used to manufacture CTx-1301 could be further delayed or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could cause the delay of clinical trials, regulatory submissions, required approvals or commercialization of our product candidates, cause us to incur higher costs and prevent us from commercializing them successfully. Furthermore, if our suppliers fail to deliver the required commercial quantities of components and APIs on a timely basis and at commercially reasonable prices, including if our suppliers did not receive adequate DEA quotas for the supply of certain scheduled components, and we are unable to secure one or more replacement suppliers capable of production at a substantially equivalent cost, commercialization of our product candidates, and clinical trials of future potential product candidates, may be delayed or we could lose potential revenue and our business, financial condition, results of operation and reputation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0" w:name="sh_007"/>
      <w:bookmarkEnd w:id="72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11, 2026 through July 7, 2026, we issued the securities described below in transactions that were not registered under the Securities Act of 1933, as amended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we issued 38,343 shares of common stock at a value of $5.22 per share to a lender in exchange for a portion of the debt owed to such lender. Such issuance was exempt from registration under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we issued 55,928 shares of common stock at a value of $4.47 per share to a lender in exchange for a portion of the debt owed to such lender. Such issuance was exempt from registration under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we issued 53,030 shares of common stock at a value of $3.96 per share to a lender in exchange for a portion of the debt owed to such lender. Such issuance was exempt from registration under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we issued 67,924 shares of common stock at a value of $5.30 per share to a lender in exchange for a portion of the debt owed to such lender. Such issuance was exempt from registration under 3(a)(9)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we issued 71,827 shares of common stock at a value of $5.01 per share to a lender in exchange for a portion of the debt owed to such lender. Such issuance was exempt from registration under 3(a)(9) of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1" w:name="sh_008"/>
      <w:bookmarkEnd w:id="721"/>
      <w:r>
        <w:rPr>
          <w:rFonts w:ascii="Times New Roman;Times;Serif" w:hAnsi="Times New Roman;Times;Serif"/>
          <w:b/>
          <w:i w:val="false"/>
          <w:caps w:val="false"/>
          <w:smallCaps w:val="false"/>
          <w:sz w:val="20"/>
        </w:rPr>
        <w:t>Item 5. Other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10b5-1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quarter of 2026, no director or officer (as defined in Exchange Act Rule 16a-1(f)) of the Company </w:t>
      </w:r>
      <w:bookmarkStart w:id="722" w:name="xdx_901_eecd--NonRule10b51ArrAdoptedFlag"/>
      <w:bookmarkStart w:id="723" w:name="xdx_90F_eecd--Rule10b51ArrAdoptedFlag_db"/>
      <w:bookmarkEnd w:id="722"/>
      <w:bookmarkEnd w:id="723"/>
      <w:r>
        <w:rPr>
          <w:rFonts w:ascii="Times New Roman;Times;Serif" w:hAnsi="Times New Roman;Times;Serif"/>
          <w:b w:val="false"/>
          <w:i w:val="false"/>
          <w:caps w:val="false"/>
          <w:smallCaps w:val="false"/>
          <w:sz w:val="20"/>
        </w:rPr>
        <w:t xml:space="preserve">adopted or </w:t>
      </w:r>
      <w:bookmarkStart w:id="724" w:name="xdx_900_eecd--NonRule10b51ArrTrmntdFlag_"/>
      <w:bookmarkStart w:id="725" w:name="xdx_900_eecd--Rule10b51ArrTrmntdFlag_dbF"/>
      <w:bookmarkEnd w:id="724"/>
      <w:bookmarkEnd w:id="725"/>
      <w:r>
        <w:rPr>
          <w:rFonts w:ascii="Times New Roman;Times;Serif" w:hAnsi="Times New Roman;Times;Serif"/>
          <w:b w:val="false"/>
          <w:i w:val="false"/>
          <w:caps w:val="false"/>
          <w:smallCaps w:val="false"/>
          <w:sz w:val="20"/>
        </w:rPr>
        <w:t>terminated a Rule 10b5-1 trading arrangement or non-Rule 10b5-1 trading arrangement for the purchase or sale of securities of the Company, within the meaning of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6" w:name="sh_009"/>
      <w:bookmarkEnd w:id="72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
        <w:gridCol w:w="60"/>
        <w:gridCol w:w="7099"/>
        <w:gridCol w:w="60"/>
        <w:gridCol w:w="504"/>
        <w:gridCol w:w="60"/>
        <w:gridCol w:w="655"/>
        <w:gridCol w:w="60"/>
        <w:gridCol w:w="723"/>
      </w:tblGrid>
      <w:tr>
        <w:trPr/>
        <w:tc>
          <w:tcPr>
            <w:tcW w:w="9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0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98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Cingulate Inc., as amended to date</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10-Q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8/13/2024</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Cingulate Inc.</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3/28/2022</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to Employment Agreement, effective June 30, 2026, between Cingulate Therapeutics, LLC and Matthew N. Brams</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7/2/2026</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Amendment No. 3 to the Cingulate Inc. 2021 Omnibus Equity Incentive Plan</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7/14/2026</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Extension Calculation Linkbase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7" w:name="sh_010"/>
      <w:bookmarkEnd w:id="72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7215" w:type="dxa"/>
        <w:jc w:val="left"/>
        <w:tblInd w:w="0" w:type="dxa"/>
        <w:tblLayout w:type="fixed"/>
        <w:tblCellMar>
          <w:top w:w="0" w:type="dxa"/>
          <w:left w:w="0" w:type="dxa"/>
          <w:bottom w:w="0" w:type="dxa"/>
          <w:right w:w="0" w:type="dxa"/>
        </w:tblCellMar>
      </w:tblPr>
      <w:tblGrid>
        <w:gridCol w:w="1865"/>
        <w:gridCol w:w="320"/>
        <w:gridCol w:w="5030"/>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35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bookmarkStart w:id="728" w:name="ex31-1.htm"/>
      <w:bookmarkStart w:id="729" w:name="ksex311"/>
      <w:bookmarkEnd w:id="728"/>
      <w:bookmarkEnd w:id="7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Shane J. Schaffer,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Cingulate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730" w:name="ex31-2.htm"/>
      <w:bookmarkStart w:id="731" w:name="ksex312"/>
      <w:bookmarkEnd w:id="730"/>
      <w:bookmarkEnd w:id="7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Jennifer L. Callahan,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2026 of Cingulate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732" w:name="ex32-1.htm"/>
      <w:bookmarkStart w:id="733" w:name="ksex321"/>
      <w:bookmarkEnd w:id="732"/>
      <w:bookmarkEnd w:id="7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Cingulate Inc. (the “Company”) for the period ended June 30, 2026 (the “Quarterly Report”), the undersigned hereby certifies in his capacity as an officer of the Company that to such officer’s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1970"/>
        <w:gridCol w:w="320"/>
        <w:gridCol w:w="2360"/>
      </w:tblGrid>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734" w:name="ex32-2.htm"/>
      <w:bookmarkStart w:id="735" w:name="ksex322"/>
      <w:bookmarkEnd w:id="734"/>
      <w:bookmarkEnd w:id="73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Cingulate Inc. (the “Company”) for the period ended June 30, 2026 (the “Quarterly Report”), the undersigned hereby certifies in her capacity as an officer of the Company that to such officer’s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970"/>
        <w:gridCol w:w="320"/>
        <w:gridCol w:w="2300"/>
      </w:tblGrid>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2150/000149315224031469/ex3-1.htm" TargetMode="External"/><Relationship Id="rId3" Type="http://schemas.openxmlformats.org/officeDocument/2006/relationships/hyperlink" Target="https://www.sec.gov/Archives/edgar/data/1862150/000149315222007903/ex3-2.htm" TargetMode="External"/><Relationship Id="rId4" Type="http://schemas.openxmlformats.org/officeDocument/2006/relationships/hyperlink" Target="https://www.sec.gov/Archives/edgar/data/1862150/000149315226031668/ex10-1.htm" TargetMode="External"/><Relationship Id="rId5" Type="http://schemas.openxmlformats.org/officeDocument/2006/relationships/hyperlink" Target="https://www.sec.gov/Archives/edgar/data/1862150/000149315226033115/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22909</Words>
  <Characters>123172</Characters>
  <CharactersWithSpaces>148388</CharactersWithSpaces>
  <Paragraphs>7361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