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4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2435"/>
        <w:gridCol w:w="60"/>
        <w:gridCol w:w="1100"/>
        <w:gridCol w:w="60"/>
        <w:gridCol w:w="1550"/>
      </w:tblGrid>
      <w:tr>
        <w:trPr/>
        <w:tc>
          <w:tcPr>
            <w:tcW w:w="24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813"/>
            <w:bookmarkEnd w:id="6"/>
            <w:r>
              <w:rPr>
                <w:rFonts w:ascii="Times New Roman;Times;Serif" w:hAnsi="Times New Roman;Times;Serif"/>
                <w:b/>
                <w:i w:val="false"/>
                <w:caps w:val="false"/>
                <w:smallCaps w:val="false"/>
                <w:sz w:val="20"/>
              </w:rPr>
              <w:t>001-40874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86-3825535</w:t>
            </w:r>
          </w:p>
        </w:tc>
      </w:tr>
      <w:tr>
        <w:trPr/>
        <w:tc>
          <w:tcPr>
            <w:tcW w:w="243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1901 W. 47th Place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Kansas City, </w:t>
      </w:r>
      <w:bookmarkStart w:id="10" w:name="xdx_903_edei--EntityAddressStateOrProvin"/>
      <w:bookmarkEnd w:id="10"/>
      <w:r>
        <w:rPr>
          <w:rFonts w:ascii="Times New Roman;Times;Serif" w:hAnsi="Times New Roman;Times;Serif"/>
          <w:b/>
          <w:i w:val="false"/>
          <w:caps w:val="false"/>
          <w:smallCaps w:val="false"/>
          <w:sz w:val="20"/>
        </w:rPr>
        <w:t xml:space="preserve">KS </w:t>
      </w:r>
      <w:bookmarkStart w:id="11" w:name="xdx_90D_edei--EntityAddressPostalZipCode"/>
      <w:bookmarkEnd w:id="11"/>
      <w:r>
        <w:rPr>
          <w:rFonts w:ascii="Times New Roman;Times;Serif" w:hAnsi="Times New Roman;Times;Serif"/>
          <w:b/>
          <w:i w:val="false"/>
          <w:caps w:val="false"/>
          <w:smallCaps w:val="false"/>
          <w:sz w:val="20"/>
        </w:rPr>
        <w:t>66205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4_edei--CityAreaCode_c20260813__20"/>
      <w:bookmarkEnd w:id="12"/>
      <w:r>
        <w:rPr>
          <w:rFonts w:ascii="Times New Roman;Times;Serif" w:hAnsi="Times New Roman;Times;Serif"/>
          <w:b/>
          <w:i w:val="false"/>
          <w:caps w:val="false"/>
          <w:smallCaps w:val="false"/>
          <w:sz w:val="20"/>
        </w:rPr>
        <w:t xml:space="preserve">(913) </w:t>
      </w:r>
      <w:bookmarkStart w:id="13" w:name="xdx_90C_edei--LocalPhoneNumber_c20260813"/>
      <w:bookmarkEnd w:id="13"/>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___________________________________________________________________</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665"/>
        <w:gridCol w:w="60"/>
        <w:gridCol w:w="1610"/>
        <w:gridCol w:w="60"/>
        <w:gridCol w:w="3275"/>
      </w:tblGrid>
      <w:tr>
        <w:trPr/>
        <w:tc>
          <w:tcPr>
            <w:tcW w:w="3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813"/>
            <w:bookmarkEnd w:id="18"/>
            <w:r>
              <w:rPr>
                <w:rFonts w:ascii="Times New Roman;Times;Serif" w:hAnsi="Times New Roman;Times;Serif"/>
                <w:b w:val="false"/>
                <w:i w:val="false"/>
                <w:caps w:val="false"/>
                <w:smallCaps w:val="false"/>
                <w:sz w:val="20"/>
              </w:rPr>
              <w:t xml:space="preserve">Common Stock, par value $0.0001 per share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60813__2"/>
            <w:bookmarkEnd w:id="19"/>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2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12bTitle_c20260813"/>
            <w:bookmarkEnd w:id="21"/>
            <w:r>
              <w:rPr>
                <w:rFonts w:ascii="Times New Roman;Times;Serif" w:hAnsi="Times New Roman;Times;Serif"/>
                <w:b w:val="false"/>
                <w:i w:val="false"/>
                <w:caps w:val="false"/>
                <w:smallCaps w:val="false"/>
                <w:sz w:val="20"/>
              </w:rPr>
              <w:t>Warrants, exercisable for 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TradingSymbol_c20260813__2"/>
            <w:bookmarkEnd w:id="22"/>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3" w:name="xdx_903_edei--SecurityExchangeName_c2026"/>
            <w:bookmarkEnd w:id="23"/>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7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0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Cingulate Inc. issued a press release announcing its financial results for the quarter ended June 30, 2026 and providing a business update. A copy of the press release is furnished as Exhibit 99.1 and incorporated by reference. 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970"/>
        <w:gridCol w:w="545"/>
        <w:gridCol w:w="197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 Reports Second Quarter 2026 Financial Results and Provides Update on CTx-1301 CMC Progress Towards NDA Resubmission and Commercial Readiness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 of $28.4 Million as of June 30, 2026 Providing Runway Through Mid-2027; Company Advances Chemistry, Manufacturing and Controls (CMC) Work Toward NDA Resubmission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 CITY, Kan., August 13, 2026 (GLOBE NEWSWIRE) — Cingulate Inc. (NASDAQ: CING), a biopharmaceutical company utilizing its proprietary Precision Timed Release™ (PTR™) drug delivery platform to develop a pipeline of next-generation products, today reported financial results for the quarter ended June 30,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While the regulatory process continues, our priorities remain clear: complete the remaining manufacturing work, submit a comprehensive response to the FDA, and continue preparing the organization for commercialization,” said Cingulate Chairman and CEO Shane J. Schaffer. “We believe CTx-1301 has the potential to address a significant unmet need in ADHD treatment, and we remain committed to bringing this innovative therapy to patients as quickly as possible, pending FDA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Regulatory Update: CTx-1301 NDA Resubmission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continues to make progress on the CMC work needed to support resubmission of the NDA for CTx-1301 (dexmethylphenidate HCl), its lead ADHD asset. The Company is working closely with its manufacturing partner to complete this work and plans to resubmit the NDA to the FDA as promptly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work follows a Complete Response Letter issued by the FDA on June 1, 2026, which identified specific requests for additional CMC information and did not identify any concerns regarding the clinical safety or efficacy of CTx-1301.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Intellectual Property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U.S. Patent and Trademark Office issued U.S. Patent No. 12,653,791 covering CTx-1301, following a Notice of Allowance issued on March 17, 2026. The patent, titled “Trimodal, Precision-Timed Pulsatile Release Tablet,” includes composition-of-matter, formulation, structural and method-of-treatment claims and protects key aspects of CTx-1301’s formulation and method of use through December 2042. This is the first U.S. patent wholly owned by Cingulate covering CTx-1301, further strengthening the Company’s intellectual property portfolio surrounding its PTR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Commercial Readiness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continues to advance commercialization preparations for CTx-1301, contingent upon FDA approval. Current activity is concentrated on market access, payer readiness and manufacturing, the workstreams that must be advanced furthest ahead of any launch. Key areas of focus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Manufacturing: Working with Bend Bioscience, the Company’s contract development and manufacturing organization, to complete the requested CMC work and advance process validation for CTx-1301, which would serve as launch inventory if approved.</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Distribution: On July 21, 2026, the Company signed an exclusive services agreement with Prasco, LLC to establish the commercial distribution infrastructure for the launch of CTx-1301, providing integrated third-party logistics and distribution capabilities designed to support broad national availability across major wholesalers as well as direct distribution to approximately 19,000 independent and smaller regional pharmacy accounts served under Prasco’s UNLIMIT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Access and Payer Strategy: Advancing payer segmentation, value proposition, pricing and contracting strategy, and to support formulary positioning ahead of a potential launch.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Operations and Omnichannel Infrastructure: Building marketing, commercial operations and digital capabilities through the Company’s master services agreement with Indegene, Inc., including dedicated market access, medical education, agency of record, and prescriber and patient marketing teams.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Deployment Planning: Under its agreement with IQVIA Inc., the Company will deploy field-based sales representatives in addition to its currently deployed corporate account directors to align with the timing of a potential approval and launch.</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and First Half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and Working Capital: </w:t>
      </w:r>
      <w:r>
        <w:rPr>
          <w:rFonts w:ascii="Times New Roman;Times;Serif" w:hAnsi="Times New Roman;Times;Serif"/>
          <w:b w:val="false"/>
          <w:i w:val="false"/>
          <w:caps w:val="false"/>
          <w:smallCaps w:val="false"/>
          <w:sz w:val="20"/>
        </w:rPr>
        <w:t>As of June 30, 2026, Cingulate had approximately $28.4 million in cash and cash equivalents, compared to $11.0 million as of December 31, 2025. The increase was primarily driven by capital raised in the first and second quarters, including the close of a $12.0 million private placement in the first quarter and $19.0 million of capital raised on Cingulate’s At-the-Market Agreement with AGP and Purchase Agreement with Lincoln Park Capital, offset by $12.8 million in cash used for operations. Cingulate had approximately $21.6 million in working capital as of June 30, 2026, an increase of $19.9 million as compared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its current business plan, the Company believes its cash and cash equivalents will be sufficient to fund operations into mid-2027, including costs associated with completing the requested CMC work, seeking regulatory approval for CTx-1301, and continuing the build-out of commercial readiness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R&amp;D Expenses: </w:t>
      </w:r>
      <w:r>
        <w:rPr>
          <w:rFonts w:ascii="Times New Roman;Times;Serif" w:hAnsi="Times New Roman;Times;Serif"/>
          <w:b w:val="false"/>
          <w:i w:val="false"/>
          <w:caps w:val="false"/>
          <w:smallCaps w:val="false"/>
          <w:sz w:val="20"/>
        </w:rPr>
        <w:t>Research and development (R&amp;D) expenses were $1.5 million for the three months ended June 30, 2026, a decrease of 44.9% from $2.7 million for the three months ended June 30, 2025, driven primarily by lower clinical operations costs following the conclusion of clinical study activities in early 2025 and the absence of the increased regulatory costs incurred in the prior-year period in connection with preparing the CTx-1301 NDA. For the six months ended June 30, 2026, R&amp;D expenses were $3.7 million, a decrease of 25.4% from $5.0 million for the six months ended June 30, 2025, partially offset by increased manufacturing activities and personnel costs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SG&amp;A Expenses: </w:t>
      </w:r>
      <w:r>
        <w:rPr>
          <w:rFonts w:ascii="Times New Roman;Times;Serif" w:hAnsi="Times New Roman;Times;Serif"/>
          <w:b w:val="false"/>
          <w:i w:val="false"/>
          <w:caps w:val="false"/>
          <w:smallCaps w:val="false"/>
          <w:sz w:val="20"/>
        </w:rPr>
        <w:t>Selling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general and administrative (SG&amp;A) expenses were $3.9 million for the three months ended June 30, 2026, compared to $1.9 million for the three months ended June 30, 2025, an increase of 101.5%. For the six months ended June 30, 2026, SG&amp;A expenses were $9.7 million, compared to $3.4 million for the six months ended June 30, 2025, an increase of 181.7%. The increases were driven primarily by the build-out of commercial readiness capabilities, including increased headcount and expanded market access, pricing, reimbursement and medical affairs activity conducted through Indegene, the Company’s commercialization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Net loss was $5.9 million for the three months ended June 30, 2026, compared to $5.0 million for the three months ended June 30, 2025. For the six months ended June 30, 2026, net loss was $15.2 million, compared to $8.8 million for the six months ended June 30, 2025, primarily reflecting the increase in SG&amp;A expenses described above.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 Data</w:t>
      </w:r>
    </w:p>
    <w:p>
      <w:pPr>
        <w:pStyle w:val="TextBody"/>
        <w:bidi w:val="0"/>
        <w:spacing w:before="0" w:after="0"/>
        <w:ind w:left="0" w:right="0" w:hanging="0"/>
        <w:jc w:val="left"/>
        <w:rPr>
          <w:caps w:val="false"/>
          <w:smallCaps w:val="false"/>
        </w:rPr>
      </w:pPr>
      <w:r>
        <w:rPr>
          <w:caps w:val="false"/>
          <w:smallCaps w:val="false"/>
        </w:rPr>
        <w:t> </w:t>
      </w:r>
    </w:p>
    <w:tbl>
      <w:tblPr>
        <w:tblW w:w="5720" w:type="dxa"/>
        <w:jc w:val="left"/>
        <w:tblInd w:w="0" w:type="dxa"/>
        <w:tblLayout w:type="fixed"/>
        <w:tblCellMar>
          <w:top w:w="0" w:type="dxa"/>
          <w:left w:w="0" w:type="dxa"/>
          <w:bottom w:w="0" w:type="dxa"/>
          <w:right w:w="0" w:type="dxa"/>
        </w:tblCellMar>
      </w:tblPr>
      <w:tblGrid>
        <w:gridCol w:w="2525"/>
        <w:gridCol w:w="60"/>
        <w:gridCol w:w="140"/>
        <w:gridCol w:w="1295"/>
        <w:gridCol w:w="95"/>
        <w:gridCol w:w="60"/>
        <w:gridCol w:w="140"/>
        <w:gridCol w:w="1295"/>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28,402,819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10,953,383</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33,066,321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15,073,263</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9,599,286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12,564,356</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21,577,149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1,695,633</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(147,557,384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(132,375,031</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23,467,035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2,508,907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Operations </w:t>
      </w:r>
    </w:p>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00"/>
        <w:gridCol w:w="60"/>
        <w:gridCol w:w="171"/>
        <w:gridCol w:w="1295"/>
        <w:gridCol w:w="116"/>
        <w:gridCol w:w="73"/>
        <w:gridCol w:w="171"/>
        <w:gridCol w:w="1295"/>
        <w:gridCol w:w="95"/>
        <w:gridCol w:w="60"/>
        <w:gridCol w:w="148"/>
        <w:gridCol w:w="1245"/>
        <w:gridCol w:w="100"/>
        <w:gridCol w:w="63"/>
        <w:gridCol w:w="148"/>
        <w:gridCol w:w="1118"/>
        <w:gridCol w:w="11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1,486,825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2,700,939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3,671,143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18" w:type="dxa"/>
            <w:tcBorders/>
            <w:shd w:fill="FFFFFF" w:val="clear"/>
            <w:vAlign w:val="center"/>
          </w:tcPr>
          <w:p>
            <w:pPr>
              <w:pStyle w:val="TableContents"/>
              <w:bidi w:val="0"/>
              <w:spacing w:before="0" w:after="283"/>
              <w:jc w:val="right"/>
              <w:rPr/>
            </w:pPr>
            <w:r>
              <w:rPr/>
              <w:t>4,923,565</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3,928,150</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1,949,035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9,667,054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3,432,444</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(5,414,975</w:t>
            </w:r>
          </w:p>
        </w:tc>
        <w:tc>
          <w:tcPr>
            <w:tcW w:w="116"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(4,649,974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b/>
              </w:rPr>
            </w:pPr>
            <w:r>
              <w:rPr>
                <w:b/>
              </w:rPr>
              <w:t>(13,338,197</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(8,356,009</w:t>
            </w:r>
          </w:p>
        </w:tc>
        <w:tc>
          <w:tcPr>
            <w:tcW w:w="110" w:type="dxa"/>
            <w:tcBorders/>
            <w:shd w:fill="FFFFFF" w:val="clear"/>
            <w:vAlign w:val="center"/>
          </w:tcPr>
          <w:p>
            <w:pPr>
              <w:pStyle w:val="TableContents"/>
              <w:bidi w:val="0"/>
              <w:spacing w:before="0" w:after="283"/>
              <w:jc w:val="left"/>
              <w:rPr>
                <w:b/>
              </w:rPr>
            </w:pPr>
            <w:r>
              <w:rPr>
                <w:b/>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(314,013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(1,166,043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(244,513</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Interest and other income (expense), net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(141,276</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(138,761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(678,113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(235,417</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(5,870,264</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(4,983,261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(15,182,353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(8,835,939</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(5,870,264</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(4,983,261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double" w:sz="6" w:space="0" w:color="000000"/>
            </w:tcBorders>
            <w:shd w:fill="FFFFFF" w:val="clear"/>
            <w:tcMar>
              <w:bottom w:w="28" w:type="dxa"/>
            </w:tcMar>
            <w:vAlign w:val="center"/>
          </w:tcPr>
          <w:p>
            <w:pPr>
              <w:pStyle w:val="TableContents"/>
              <w:bidi w:val="0"/>
              <w:spacing w:before="0" w:after="283"/>
              <w:jc w:val="right"/>
              <w:rPr/>
            </w:pPr>
            <w:r>
              <w:rPr/>
              <w:t>(15,182,353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(8,835,939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Attention Deficit/Hyperactivity Disorder (ADHD)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ADHD is a chronic neurobiological and developmental disorder that affects millions of children and often continues into adulthood. The estimated market size of the US ADHD market is approximately 100 million annual prescriptions. The condition is marked by an ongoing pattern of inattention and/or hyperactivity-impulsivity that interferes with functioning or development. In the U.S., over 20 million patients have been diagnosed with ADHD. Among this group, 12 million are adults and over 8 million are under the age of 17. According to the CDC, just 53.6 percent of all children and teens with ADHD reported they were actively treating their symptoms with medication in 2022, with 65-90 percent demonstrating clinical ADHD symptoms that persist into adulthood. Current market trends demonstrate that adult ADHD prevalence is larger and growing faster than the child and adolescent segments combined.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CTx-1301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CTx-1301 (dexmethylphenidate HCl) is a once-daily, multi-core tablet utilizing Cingulate’s proprietary Precision Timed Release™ (PTR™) platform to deliver three precisely timed releases of active medication across the day. This design aims to provide rapid onset of effect and entire active-day duration. CTx-1301 is being evaluated for the treatment of ADHD under the FDA’s 505(b)(2) pathway. In October 2025, the FDA accepted for review the NDA for CTx-1301 and assigned a PDUFA target action date of May 31, 2026. On June 1, 2026, the FDA issued a Complete Response Letter for the CTx-1301 NDA; the Company is working to complete the requested CMC work and plans to resubmit the NDA as promptly as practicable. There can be no assurance regarding the timing of any resubmission or whether approval will occur.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Precision Timed Release™ (PTR™) Platform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is developing ADHD and anxiety disorder product candidates capable of achieving true once-daily dosing using Cingulate’s innovative PTR drug delivery platform technology. It incorporates a proprietary Erosion Barrier Layer (EBL) providing control of drug release at precise, pre-defined times with no release of drug prior to the intended release. The EBL technology is enrobed around a drug-containing core to give a tablet-in-tablet dose form. It is designed to erode at a controlled rate until eventually the drug is released from the core tablet. The EBL formulation, Oralogik™, is licensed from BDD Pharma. Cingulate intends to utilize its PTR technology to expand and augment its clinical-stage pipeline by identifying and developing additional product candidates in other therapeutic areas in addition to Anxiety and ADHD.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Cingulate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(NASDAQ: CING) is a biopharmaceutical company utilizing its proprietary PTR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Cingulate is identifying and evaluating additional therapeutic areas where PTR technology may be employed to develop future product candidates, including to treat anxiety disorders. Cingulate is headquartered in Kansas City. For more information, visit Cingulate.com.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include all statements, other than statements of historical fact, regarding our current views and assumptions with respect to future events regarding our business, including statements with respect to our plans, assumptions, expectations, beliefs and objectives with respect to product development, clinical studies, clinical and regulatory timelines, the timing and outcome of any resubmission of the CTx-1301 NDA, market opportunity, competitive position, business strategies, potential growth opportunities, our expected cash runway, and anticipated capital needs and financing plans. These statements are generally identified by the use of such words as “may,” “could,” “should,” “would,” “believe,” “anticipate,” “forecast,” “estimate,” “expect,” “intend,” “plan,” “continue,” “outlook,” “will,” “potential” and similar statements of a future or forward-looking nature. Readers are cautioned that any forward-looking information provided by us or on our behalf is not a guarantee of future performance. Actual results may differ materially from those contained in these forward-looking statements as a result of various factors disclosed in our filings with the Securities and Exchange Commission (SEC), including the “Risk Factors” section of our Annual Report on Form 10-K filed with the SEC on March 18, 2026, our Quarterly Report on Form 10-Q for the period ended June 30, 2026, and our other filings with the SEC. All forward-looking statements speak only as of the date on which they are made, and we undertake no duty to update or revise any forward-looking statements,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Dalton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Corporate and Government Relations, Cingulate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tdalton@cingulate.com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 529-5434</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2505</Words>
  <Characters>14475</Characters>
  <CharactersWithSpaces>17074</CharactersWithSpaces>
  <Paragraphs>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