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Hargroves Thomas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on the earlier of (i) the one-year anniversary of the date of grant and (ii) the date of the Cingulate Inc.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231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3232</Characters>
  <CharactersWithSpaces>3761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